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media/image2.png" ContentType="image/png"/>
  <Override PartName="/word/header2.xml" ContentType="application/vnd.openxmlformats-officedocument.wordprocessingml.header+xml"/>
  <Override PartName="/word/comments.xml" ContentType="application/vnd.openxmlformats-officedocument.wordprocessingml.comments+xml"/>
  <Override PartName="/word/header1.xml" ContentType="application/vnd.openxmlformats-officedocument.wordprocessingml.header+xml"/>
  <Override PartName="/word/commentsExtended.xml" ContentType="application/vnd.openxmlformats-officedocument.wordprocessingml.commentsExtended+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comment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rPr>
          <w:rFonts w:cs="Arial"/>
          <w:b/>
          <w:b/>
          <w:bCs/>
          <w:i/>
          <w:i/>
          <w:iCs/>
          <w:color w:val="FF0000"/>
          <w:szCs w:val="18"/>
        </w:rPr>
      </w:pPr>
      <w:commentRangeStart w:id="0"/>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commentRangeEnd w:id="0"/>
      <w:r>
        <w:commentReference w:id="0"/>
      </w:r>
      <w:r>
        <w:rPr>
          <w:rFonts w:cs="Arial"/>
          <w:color w:val="405CA1"/>
          <w:sz w:val="56"/>
          <w:szCs w:val="56"/>
        </w:rPr>
      </w:r>
    </w:p>
    <w:p>
      <w:pPr>
        <w:pStyle w:val="Normal"/>
        <w:rPr>
          <w:rFonts w:cs="Arial"/>
          <w:b/>
          <w:b/>
          <w:bCs/>
          <w:color w:val="5B5B5F"/>
          <w:sz w:val="28"/>
          <w:szCs w:val="28"/>
        </w:rPr>
      </w:pPr>
      <w:r>
        <w:rPr>
          <w:rFonts w:cs="Arial"/>
          <w:bCs/>
          <w:color w:val="5B5B5F"/>
          <w:sz w:val="28"/>
          <w:szCs w:val="28"/>
        </w:rPr>
        <w:t>0</w:t>
      </w:r>
      <w:r>
        <w:rPr>
          <w:rFonts w:cs="Arial"/>
          <w:bCs/>
          <w:color w:val="FF0000"/>
          <w:sz w:val="28"/>
          <w:szCs w:val="28"/>
        </w:rPr>
        <w:t>XX</w:t>
      </w:r>
      <w:r>
        <w:rPr>
          <w:rFonts w:cs="Arial"/>
          <w:bCs/>
          <w:color w:val="5B5B5F"/>
          <w:sz w:val="28"/>
          <w:szCs w:val="28"/>
        </w:rPr>
        <w:t>/2023</w:t>
      </w:r>
    </w:p>
    <w:p>
      <w:pPr>
        <w:pStyle w:val="Normal"/>
        <w:spacing w:lineRule="auto" w:line="259"/>
        <w:rPr>
          <w:rFonts w:cs="Arial"/>
          <w:b/>
          <w:b/>
          <w:bCs/>
          <w:color w:val="405CA1"/>
          <w:sz w:val="32"/>
          <w:szCs w:val="32"/>
        </w:rPr>
      </w:pPr>
      <w:r>
        <w:rPr>
          <w:rFonts w:cs="Arial"/>
          <w:b/>
          <w:bCs/>
          <w:color w:val="405CA1"/>
          <w:sz w:val="32"/>
          <w:szCs w:val="32"/>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Cs/>
          <w:color w:val="5B5B5F"/>
          <w:sz w:val="28"/>
          <w:szCs w:val="28"/>
        </w:rPr>
        <w:t>160291</w:t>
      </w:r>
    </w:p>
    <w:p>
      <w:pPr>
        <w:pStyle w:val="Normal"/>
        <w:rPr>
          <w:rFonts w:cs="Arial"/>
          <w:b/>
          <w:b/>
          <w:bCs/>
          <w:color w:val="405CA1"/>
          <w:sz w:val="32"/>
          <w:szCs w:val="32"/>
        </w:rPr>
      </w:pPr>
      <w:r>
        <w:rPr>
          <w:rFonts w:cs="Arial"/>
          <w:b/>
          <w:bCs/>
          <w:color w:val="405CA1"/>
          <w:sz w:val="32"/>
          <w:szCs w:val="32"/>
        </w:rPr>
      </w:r>
    </w:p>
    <w:p>
      <w:pPr>
        <w:pStyle w:val="Normal"/>
        <w:rPr>
          <w:rFonts w:cs="Arial"/>
          <w:b/>
          <w:b/>
          <w:bCs/>
          <w:color w:val="5B5B5F"/>
          <w:szCs w:val="20"/>
        </w:rPr>
      </w:pPr>
      <w:r>
        <w:rPr>
          <w:rFonts w:cs="Arial"/>
          <w:b/>
          <w:bCs/>
          <w:color w:val="405CA1"/>
          <w:sz w:val="32"/>
          <w:szCs w:val="32"/>
        </w:rPr>
        <w:t>OBJETO</w:t>
      </w:r>
    </w:p>
    <w:p>
      <w:pPr>
        <w:pStyle w:val="Normal"/>
        <w:rPr>
          <w:rFonts w:cs="Arial"/>
          <w:color w:val="FF0000"/>
          <w:sz w:val="28"/>
          <w:szCs w:val="28"/>
        </w:rPr>
      </w:pPr>
      <w:r>
        <w:rPr>
          <w:rFonts w:cs="Arial"/>
          <w:color w:val="FF0000"/>
          <w:sz w:val="28"/>
          <w:szCs w:val="28"/>
        </w:rPr>
        <w:t>XXXXXXXXXXXXXX</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VALOR TOTAL DA CONTRATAÇÃO</w:t>
      </w:r>
    </w:p>
    <w:p>
      <w:pPr>
        <w:pStyle w:val="Normal"/>
        <w:rPr>
          <w:rFonts w:cs="Arial"/>
          <w:b/>
          <w:b/>
          <w:bCs/>
          <w:color w:val="5B5B5F"/>
          <w:sz w:val="28"/>
          <w:szCs w:val="28"/>
        </w:rPr>
      </w:pPr>
      <w:r>
        <w:rPr>
          <w:rFonts w:cs="Arial"/>
          <w:b/>
          <w:bCs/>
          <w:color w:val="5B5B5F"/>
          <w:sz w:val="28"/>
          <w:szCs w:val="28"/>
        </w:rPr>
        <w:t xml:space="preserve">R$ </w:t>
      </w:r>
      <w:r>
        <w:rPr>
          <w:rFonts w:cs="Arial"/>
          <w:b/>
          <w:bCs/>
          <w:color w:val="FF0000"/>
          <w:sz w:val="28"/>
          <w:szCs w:val="28"/>
        </w:rPr>
        <w:t>X0.000,00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DATA DA SESSÃO </w:t>
      </w:r>
    </w:p>
    <w:p>
      <w:pPr>
        <w:pStyle w:val="Normal"/>
        <w:rPr>
          <w:rFonts w:cs="Arial"/>
          <w:color w:val="5B5B5F"/>
          <w:sz w:val="28"/>
          <w:szCs w:val="28"/>
        </w:rPr>
      </w:pPr>
      <w:r>
        <w:rPr>
          <w:rFonts w:cs="Arial"/>
          <w:color w:val="5B5B5F"/>
          <w:sz w:val="28"/>
          <w:szCs w:val="28"/>
        </w:rPr>
        <w:t xml:space="preserve">De  </w:t>
      </w:r>
      <w:r>
        <w:rPr>
          <w:rFonts w:cs="Arial"/>
          <w:b/>
          <w:bCs/>
          <w:color w:val="5B5B5F"/>
          <w:sz w:val="28"/>
          <w:szCs w:val="28"/>
        </w:rPr>
        <w:t xml:space="preserve">  /    /2023</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09:00 até 15:00</w:t>
      </w:r>
    </w:p>
    <w:p>
      <w:pPr>
        <w:pStyle w:val="Normal"/>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tulodosumrio"/>
            <w:ind w:left="0" w:hanging="0"/>
            <w:rPr/>
          </w:pPr>
          <w:r>
            <w:rPr/>
            <w:t>Sumário</w:t>
          </w:r>
        </w:p>
        <w:p>
          <w:pPr>
            <w:pStyle w:val="Sumrio1"/>
            <w:tabs>
              <w:tab w:val="clear" w:pos="708"/>
              <w:tab w:val="left" w:pos="440" w:leader="none"/>
              <w:tab w:val="right" w:pos="8494" w:leader="dot"/>
            </w:tabs>
            <w:rPr/>
          </w:pPr>
          <w:r>
            <w:fldChar w:fldCharType="begin"/>
          </w:r>
          <w:r>
            <w:rPr>
              <w:webHidden/>
              <w:rStyle w:val="Vnculodendice"/>
              <w:rFonts w:eastAsia="Arial Unicode MS"/>
              <w:lang w:bidi="hi-IN"/>
            </w:rPr>
            <w:instrText xml:space="preserve"> TOC \z \o "1-3" \u \h</w:instrText>
          </w:r>
          <w:r>
            <w:rPr>
              <w:webHidden/>
              <w:rStyle w:val="Vnculodendice"/>
              <w:rFonts w:eastAsia="Arial Unicode MS"/>
              <w:lang w:bidi="hi-IN"/>
            </w:rPr>
            <w:fldChar w:fldCharType="separate"/>
          </w:r>
          <w:hyperlink w:anchor="_Toc118380899">
            <w:r>
              <w:rPr>
                <w:webHidden/>
                <w:rStyle w:val="Vnculodendice"/>
                <w:rFonts w:eastAsia="Arial Unicode MS"/>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 xml:space="preserve">PAGEREF _Toc118380899 \h</w:instrText>
            </w:r>
            <w:r>
              <w:rPr>
                <w:webHidden/>
              </w:rPr>
              <w:fldChar w:fldCharType="separate"/>
            </w:r>
            <w:r>
              <w:rPr>
                <w:rStyle w:val="Vnculodendice"/>
                <w:vanish w:val="false"/>
              </w:rPr>
              <w:tab/>
              <w:t>3</w:t>
            </w:r>
            <w:r>
              <w:rPr>
                <w:webHidden/>
              </w:rPr>
              <w:fldChar w:fldCharType="end"/>
            </w:r>
          </w:hyperlink>
        </w:p>
        <w:p>
          <w:pPr>
            <w:pStyle w:val="Sumrio1"/>
            <w:tabs>
              <w:tab w:val="clear" w:pos="708"/>
              <w:tab w:val="left" w:pos="440" w:leader="none"/>
              <w:tab w:val="right" w:pos="8494" w:leader="dot"/>
            </w:tabs>
            <w:rPr/>
          </w:pPr>
          <w:hyperlink w:anchor="_Toc118380900">
            <w:r>
              <w:rPr>
                <w:webHidden/>
                <w:rStyle w:val="Vnculodendice"/>
                <w:rFonts w:eastAsia="Arial Unicode MS"/>
                <w:lang w:bidi="hi-IN"/>
              </w:rPr>
              <w:t>2.</w:t>
            </w:r>
            <w:r>
              <w:rPr>
                <w:rStyle w:val="Vnculodendice"/>
              </w:rPr>
              <w:tab/>
            </w:r>
            <w:r>
              <w:rPr>
                <w:rStyle w:val="Vnculodendice"/>
                <w:rFonts w:eastAsia="Arial Unicode MS"/>
                <w:lang w:bidi="hi-IN"/>
              </w:rPr>
              <w:t>PARTICIPAÇÃO NA DISPENSA ELETRÔNICA.</w:t>
            </w:r>
            <w:r>
              <w:rPr>
                <w:webHidden/>
              </w:rPr>
              <w:fldChar w:fldCharType="begin"/>
            </w:r>
            <w:r>
              <w:rPr>
                <w:webHidden/>
              </w:rPr>
              <w:instrText xml:space="preserve">PAGEREF _Toc118380900 \h</w:instrText>
            </w:r>
            <w:r>
              <w:rPr>
                <w:webHidden/>
              </w:rPr>
              <w:fldChar w:fldCharType="separate"/>
            </w:r>
            <w:r>
              <w:rPr>
                <w:rStyle w:val="Vnculodendice"/>
                <w:vanish w:val="false"/>
              </w:rPr>
              <w:tab/>
              <w:t>4</w:t>
            </w:r>
            <w:r>
              <w:rPr>
                <w:webHidden/>
              </w:rPr>
              <w:fldChar w:fldCharType="end"/>
            </w:r>
          </w:hyperlink>
        </w:p>
        <w:p>
          <w:pPr>
            <w:pStyle w:val="Sumrio1"/>
            <w:tabs>
              <w:tab w:val="clear" w:pos="708"/>
              <w:tab w:val="left" w:pos="440" w:leader="none"/>
              <w:tab w:val="right" w:pos="8494" w:leader="dot"/>
            </w:tabs>
            <w:rPr/>
          </w:pPr>
          <w:hyperlink w:anchor="_Toc118380901">
            <w:r>
              <w:rPr>
                <w:webHidden/>
                <w:rStyle w:val="Vnculodendice"/>
                <w:rFonts w:eastAsia="Arial Unicode MS"/>
                <w:lang w:bidi="hi-IN"/>
              </w:rPr>
              <w:t>3.</w:t>
            </w:r>
            <w:r>
              <w:rPr>
                <w:rStyle w:val="Vnculodendice"/>
              </w:rPr>
              <w:tab/>
            </w:r>
            <w:r>
              <w:rPr>
                <w:rStyle w:val="Vnculodendice"/>
                <w:rFonts w:eastAsia="Arial Unicode MS"/>
                <w:lang w:bidi="hi-IN"/>
              </w:rPr>
              <w:t>INGRESSO NA DISPENSA ELETRÔNICA E CADASTRAMENTO DA PROPOSTA INICIAL</w:t>
            </w:r>
            <w:r>
              <w:rPr>
                <w:webHidden/>
              </w:rPr>
              <w:fldChar w:fldCharType="begin"/>
            </w:r>
            <w:r>
              <w:rPr>
                <w:webHidden/>
              </w:rPr>
              <w:instrText xml:space="preserve">PAGEREF _Toc118380901 \h</w:instrText>
            </w:r>
            <w:r>
              <w:rPr>
                <w:webHidden/>
              </w:rPr>
              <w:fldChar w:fldCharType="separate"/>
            </w:r>
            <w:r>
              <w:rPr>
                <w:rStyle w:val="Vnculodendice"/>
                <w:vanish w:val="false"/>
              </w:rPr>
              <w:tab/>
              <w:t>5</w:t>
            </w:r>
            <w:r>
              <w:rPr>
                <w:webHidden/>
              </w:rPr>
              <w:fldChar w:fldCharType="end"/>
            </w:r>
          </w:hyperlink>
        </w:p>
        <w:p>
          <w:pPr>
            <w:pStyle w:val="Sumrio1"/>
            <w:tabs>
              <w:tab w:val="clear" w:pos="708"/>
              <w:tab w:val="left" w:pos="440" w:leader="none"/>
              <w:tab w:val="right" w:pos="8494" w:leader="dot"/>
            </w:tabs>
            <w:rPr/>
          </w:pPr>
          <w:hyperlink w:anchor="_Toc118380902">
            <w:r>
              <w:rPr>
                <w:webHidden/>
                <w:rStyle w:val="Vnculodendice"/>
                <w:rFonts w:eastAsia="Arial Unicode MS"/>
                <w:lang w:bidi="hi-IN"/>
              </w:rPr>
              <w:t>4.</w:t>
            </w:r>
            <w:r>
              <w:rPr>
                <w:rStyle w:val="Vnculodendice"/>
              </w:rPr>
              <w:tab/>
            </w:r>
            <w:r>
              <w:rPr>
                <w:rStyle w:val="Vnculodendice"/>
                <w:rFonts w:eastAsia="Arial Unicode MS"/>
                <w:lang w:bidi="hi-IN"/>
              </w:rPr>
              <w:t>FASE DE LANCES</w:t>
            </w:r>
            <w:r>
              <w:rPr>
                <w:webHidden/>
              </w:rPr>
              <w:fldChar w:fldCharType="begin"/>
            </w:r>
            <w:r>
              <w:rPr>
                <w:webHidden/>
              </w:rPr>
              <w:instrText xml:space="preserve">PAGEREF _Toc118380902 \h</w:instrText>
            </w:r>
            <w:r>
              <w:rPr>
                <w:webHidden/>
              </w:rPr>
              <w:fldChar w:fldCharType="separate"/>
            </w:r>
            <w:r>
              <w:rPr>
                <w:rStyle w:val="Vnculodendice"/>
                <w:vanish w:val="false"/>
              </w:rPr>
              <w:tab/>
              <w:t>7</w:t>
            </w:r>
            <w:r>
              <w:rPr>
                <w:webHidden/>
              </w:rPr>
              <w:fldChar w:fldCharType="end"/>
            </w:r>
          </w:hyperlink>
        </w:p>
        <w:p>
          <w:pPr>
            <w:pStyle w:val="Sumrio1"/>
            <w:tabs>
              <w:tab w:val="clear" w:pos="708"/>
              <w:tab w:val="left" w:pos="440" w:leader="none"/>
              <w:tab w:val="right" w:pos="8494" w:leader="dot"/>
            </w:tabs>
            <w:rPr/>
          </w:pPr>
          <w:hyperlink w:anchor="_Toc118380903">
            <w:r>
              <w:rPr>
                <w:webHidden/>
                <w:rStyle w:val="Vnculodendice"/>
                <w:rFonts w:eastAsia="Arial Unicode MS"/>
                <w:lang w:bidi="hi-IN"/>
              </w:rPr>
              <w:t>5.</w:t>
            </w:r>
            <w:r>
              <w:rPr>
                <w:rStyle w:val="Vnculodendice"/>
              </w:rPr>
              <w:tab/>
            </w:r>
            <w:r>
              <w:rPr>
                <w:rStyle w:val="Vnculodendice"/>
                <w:rFonts w:eastAsia="Arial Unicode MS"/>
                <w:lang w:bidi="hi-IN"/>
              </w:rPr>
              <w:t>JULGAMENTO DAS PROPOSTAS DE PREÇO</w:t>
            </w:r>
            <w:r>
              <w:rPr>
                <w:webHidden/>
              </w:rPr>
              <w:fldChar w:fldCharType="begin"/>
            </w:r>
            <w:r>
              <w:rPr>
                <w:webHidden/>
              </w:rPr>
              <w:instrText xml:space="preserve">PAGEREF _Toc118380903 \h</w:instrText>
            </w:r>
            <w:r>
              <w:rPr>
                <w:webHidden/>
              </w:rPr>
              <w:fldChar w:fldCharType="separate"/>
            </w:r>
            <w:r>
              <w:rPr>
                <w:rStyle w:val="Vnculodendice"/>
                <w:vanish w:val="false"/>
              </w:rPr>
              <w:tab/>
              <w:t>7</w:t>
            </w:r>
            <w:r>
              <w:rPr>
                <w:webHidden/>
              </w:rPr>
              <w:fldChar w:fldCharType="end"/>
            </w:r>
          </w:hyperlink>
        </w:p>
        <w:p>
          <w:pPr>
            <w:pStyle w:val="Sumrio1"/>
            <w:tabs>
              <w:tab w:val="clear" w:pos="708"/>
              <w:tab w:val="left" w:pos="440" w:leader="none"/>
              <w:tab w:val="right" w:pos="8494" w:leader="dot"/>
            </w:tabs>
            <w:rPr/>
          </w:pPr>
          <w:hyperlink w:anchor="_Toc118380904">
            <w:r>
              <w:rPr>
                <w:webHidden/>
                <w:rStyle w:val="Vnculodendice"/>
                <w:rFonts w:eastAsia="Arial Unicode MS"/>
                <w:lang w:bidi="hi-IN"/>
              </w:rPr>
              <w:t>6.</w:t>
            </w:r>
            <w:r>
              <w:rPr>
                <w:rStyle w:val="Vnculodendice"/>
              </w:rPr>
              <w:tab/>
            </w:r>
            <w:r>
              <w:rPr>
                <w:rStyle w:val="Vnculodendice"/>
                <w:rFonts w:eastAsia="Arial Unicode MS"/>
                <w:lang w:bidi="hi-IN"/>
              </w:rPr>
              <w:t>HABILITAÇÃO</w:t>
            </w:r>
            <w:r>
              <w:rPr>
                <w:webHidden/>
              </w:rPr>
              <w:fldChar w:fldCharType="begin"/>
            </w:r>
            <w:r>
              <w:rPr>
                <w:webHidden/>
              </w:rPr>
              <w:instrText xml:space="preserve">PAGEREF _Toc118380904 \h</w:instrText>
            </w:r>
            <w:r>
              <w:rPr>
                <w:webHidden/>
              </w:rPr>
              <w:fldChar w:fldCharType="separate"/>
            </w:r>
            <w:r>
              <w:rPr>
                <w:rStyle w:val="Vnculodendice"/>
                <w:vanish w:val="false"/>
              </w:rPr>
              <w:tab/>
              <w:t>9</w:t>
            </w:r>
            <w:r>
              <w:rPr>
                <w:webHidden/>
              </w:rPr>
              <w:fldChar w:fldCharType="end"/>
            </w:r>
          </w:hyperlink>
        </w:p>
        <w:p>
          <w:pPr>
            <w:pStyle w:val="Sumrio1"/>
            <w:tabs>
              <w:tab w:val="clear" w:pos="708"/>
              <w:tab w:val="left" w:pos="440" w:leader="none"/>
              <w:tab w:val="right" w:pos="8494" w:leader="dot"/>
            </w:tabs>
            <w:rPr/>
          </w:pPr>
          <w:hyperlink w:anchor="_Toc118380905">
            <w:r>
              <w:rPr>
                <w:webHidden/>
                <w:rStyle w:val="Vnculodendice"/>
                <w:rFonts w:eastAsia="Arial Unicode MS"/>
                <w:lang w:bidi="hi-IN"/>
              </w:rPr>
              <w:t>7.</w:t>
            </w:r>
            <w:r>
              <w:rPr>
                <w:rStyle w:val="Vnculodendice"/>
              </w:rPr>
              <w:tab/>
            </w:r>
            <w:r>
              <w:rPr>
                <w:rStyle w:val="Vnculodendice"/>
                <w:rFonts w:eastAsia="Arial Unicode MS"/>
                <w:lang w:bidi="hi-IN"/>
              </w:rPr>
              <w:t>CONTRATAÇÃO</w:t>
            </w:r>
            <w:r>
              <w:rPr>
                <w:webHidden/>
              </w:rPr>
              <w:fldChar w:fldCharType="begin"/>
            </w:r>
            <w:r>
              <w:rPr>
                <w:webHidden/>
              </w:rPr>
              <w:instrText xml:space="preserve">PAGEREF _Toc118380905 \h</w:instrText>
            </w:r>
            <w:r>
              <w:rPr>
                <w:webHidden/>
              </w:rPr>
              <w:fldChar w:fldCharType="separate"/>
            </w:r>
            <w:r>
              <w:rPr>
                <w:rStyle w:val="Vnculodendice"/>
                <w:vanish w:val="false"/>
              </w:rPr>
              <w:tab/>
              <w:t>11</w:t>
            </w:r>
            <w:r>
              <w:rPr>
                <w:webHidden/>
              </w:rPr>
              <w:fldChar w:fldCharType="end"/>
            </w:r>
          </w:hyperlink>
        </w:p>
        <w:p>
          <w:pPr>
            <w:pStyle w:val="Sumrio1"/>
            <w:tabs>
              <w:tab w:val="clear" w:pos="708"/>
              <w:tab w:val="left" w:pos="440" w:leader="none"/>
              <w:tab w:val="right" w:pos="8494" w:leader="dot"/>
            </w:tabs>
            <w:rPr/>
          </w:pPr>
          <w:hyperlink w:anchor="_Toc118380906">
            <w:r>
              <w:rPr>
                <w:webHidden/>
                <w:rStyle w:val="Vnculodendice"/>
                <w:rFonts w:eastAsia="Arial Unicode MS"/>
                <w:lang w:bidi="hi-IN"/>
              </w:rPr>
              <w:t>8.</w:t>
            </w:r>
            <w:r>
              <w:rPr>
                <w:rStyle w:val="Vnculodendice"/>
              </w:rPr>
              <w:tab/>
            </w:r>
            <w:r>
              <w:rPr>
                <w:rStyle w:val="Vnculodendice"/>
                <w:rFonts w:eastAsia="Arial Unicode MS"/>
                <w:lang w:bidi="hi-IN"/>
              </w:rPr>
              <w:t>INFRAÇÕES E SANÇÕES ADMINISTRATIVAS</w:t>
            </w:r>
            <w:r>
              <w:rPr>
                <w:webHidden/>
              </w:rPr>
              <w:fldChar w:fldCharType="begin"/>
            </w:r>
            <w:r>
              <w:rPr>
                <w:webHidden/>
              </w:rPr>
              <w:instrText xml:space="preserve">PAGEREF _Toc118380906 \h</w:instrText>
            </w:r>
            <w:r>
              <w:rPr>
                <w:webHidden/>
              </w:rPr>
              <w:fldChar w:fldCharType="separate"/>
            </w:r>
            <w:r>
              <w:rPr>
                <w:rStyle w:val="Vnculodendice"/>
                <w:vanish w:val="false"/>
              </w:rPr>
              <w:tab/>
              <w:t>11</w:t>
            </w:r>
            <w:r>
              <w:rPr>
                <w:webHidden/>
              </w:rPr>
              <w:fldChar w:fldCharType="end"/>
            </w:r>
          </w:hyperlink>
        </w:p>
        <w:p>
          <w:pPr>
            <w:pStyle w:val="Sumrio1"/>
            <w:tabs>
              <w:tab w:val="clear" w:pos="708"/>
              <w:tab w:val="left" w:pos="440" w:leader="none"/>
              <w:tab w:val="right" w:pos="8494" w:leader="dot"/>
            </w:tabs>
            <w:rPr/>
          </w:pPr>
          <w:hyperlink w:anchor="_Toc118380907">
            <w:r>
              <w:rPr>
                <w:webHidden/>
                <w:rStyle w:val="Vnculodendice"/>
                <w:rFonts w:eastAsia="Arial Unicode MS"/>
                <w:lang w:bidi="hi-IN"/>
              </w:rPr>
              <w:t>9.</w:t>
            </w:r>
            <w:r>
              <w:rPr>
                <w:rStyle w:val="Vnculodendice"/>
              </w:rPr>
              <w:tab/>
            </w:r>
            <w:r>
              <w:rPr>
                <w:rStyle w:val="Vnculodendice"/>
                <w:rFonts w:eastAsia="Arial Unicode MS"/>
                <w:lang w:bidi="hi-IN"/>
              </w:rPr>
              <w:t>DAS DISPOSIÇÕES GERAIS</w:t>
            </w:r>
            <w:r>
              <w:rPr>
                <w:webHidden/>
              </w:rPr>
              <w:fldChar w:fldCharType="begin"/>
            </w:r>
            <w:r>
              <w:rPr>
                <w:webHidden/>
              </w:rPr>
              <w:instrText xml:space="preserve">PAGEREF _Toc118380907 \h</w:instrText>
            </w:r>
            <w:r>
              <w:rPr>
                <w:webHidden/>
              </w:rPr>
              <w:fldChar w:fldCharType="separate"/>
            </w:r>
            <w:r>
              <w:rPr>
                <w:rStyle w:val="Vnculodendice"/>
                <w:vanish w:val="false"/>
              </w:rPr>
              <w:tab/>
              <w:t>13</w:t>
            </w:r>
            <w:r>
              <w:rPr>
                <w:webHidden/>
              </w:rPr>
              <w:fldChar w:fldCharType="end"/>
            </w:r>
          </w:hyperlink>
        </w:p>
        <w:p>
          <w:pPr>
            <w:pStyle w:val="Normal"/>
            <w:rPr/>
          </w:pPr>
          <w:r>
            <w:rPr/>
          </w:r>
          <w:r>
            <w:rPr/>
            <w:fldChar w:fldCharType="end"/>
          </w:r>
        </w:p>
      </w:sdtContent>
    </w:sdt>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widowControl w:val="false"/>
        <w:tabs>
          <w:tab w:val="clear" w:pos="708"/>
          <w:tab w:val="left" w:pos="9071" w:leader="none"/>
        </w:tabs>
        <w:ind w:left="114" w:hanging="0"/>
        <w:jc w:val="center"/>
        <w:rPr>
          <w:rFonts w:ascii="Times New Roman" w:hAnsi="Times New Roman" w:cs="Times New Roman"/>
          <w:sz w:val="24"/>
          <w:lang w:val="pt-PT" w:eastAsia="en-US"/>
        </w:rPr>
      </w:pPr>
      <w:bookmarkStart w:id="0" w:name="_Hlk81386706"/>
      <w:r>
        <w:rPr/>
        <w:drawing>
          <wp:inline distT="0" distB="0" distL="0" distR="0">
            <wp:extent cx="797560" cy="85090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97560" cy="850900"/>
                    </a:xfrm>
                    <a:prstGeom prst="rect">
                      <a:avLst/>
                    </a:prstGeom>
                  </pic:spPr>
                </pic:pic>
              </a:graphicData>
            </a:graphic>
          </wp:inline>
        </w:drawing>
      </w:r>
    </w:p>
    <w:p>
      <w:pPr>
        <w:pStyle w:val="Normal"/>
        <w:widowControl w:val="false"/>
        <w:spacing w:lineRule="auto" w:line="216"/>
        <w:jc w:val="center"/>
        <w:rPr>
          <w:rFonts w:cs="Arial"/>
          <w:b/>
          <w:b/>
          <w:sz w:val="24"/>
          <w:lang w:val="pt-PT" w:eastAsia="en-US"/>
        </w:rPr>
      </w:pPr>
      <w:r>
        <w:rPr>
          <w:rFonts w:cs="Arial"/>
          <w:b/>
          <w:sz w:val="24"/>
          <w:lang w:val="pt-PT" w:eastAsia="en-US"/>
        </w:rPr>
        <w:t>MINISTÉRIO DA DEFESA</w:t>
      </w:r>
    </w:p>
    <w:p>
      <w:pPr>
        <w:pStyle w:val="Normal"/>
        <w:widowControl w:val="false"/>
        <w:spacing w:lineRule="auto" w:line="216"/>
        <w:jc w:val="center"/>
        <w:rPr>
          <w:rFonts w:cs="Arial"/>
          <w:b/>
          <w:b/>
          <w:sz w:val="24"/>
          <w:lang w:val="pt-PT" w:eastAsia="en-US"/>
        </w:rPr>
      </w:pPr>
      <w:r>
        <w:rPr>
          <w:rFonts w:cs="Arial"/>
          <w:b/>
          <w:sz w:val="24"/>
          <w:lang w:val="pt-PT" w:eastAsia="en-US"/>
        </w:rPr>
        <w:t>EXÉRCITO BRASILEIRO</w:t>
      </w:r>
    </w:p>
    <w:p>
      <w:pPr>
        <w:pStyle w:val="Normal"/>
        <w:widowControl w:val="false"/>
        <w:spacing w:lineRule="auto" w:line="216"/>
        <w:jc w:val="center"/>
        <w:rPr>
          <w:rFonts w:cs="Arial"/>
          <w:b/>
          <w:b/>
          <w:sz w:val="24"/>
          <w:lang w:val="pt-PT" w:eastAsia="en-US"/>
        </w:rPr>
      </w:pPr>
      <w:r>
        <w:rPr>
          <w:rFonts w:cs="Arial"/>
          <w:b/>
          <w:sz w:val="24"/>
          <w:lang w:val="pt-PT" w:eastAsia="en-US"/>
        </w:rPr>
        <w:t>DEPARTAMENTO DE CIENCIA E TECNOLOGIA</w:t>
      </w:r>
    </w:p>
    <w:p>
      <w:pPr>
        <w:pStyle w:val="Normal"/>
        <w:widowControl w:val="false"/>
        <w:spacing w:lineRule="auto" w:line="216"/>
        <w:jc w:val="center"/>
        <w:rPr>
          <w:rFonts w:cs="Arial"/>
          <w:b/>
          <w:b/>
          <w:bCs/>
          <w:sz w:val="24"/>
          <w:lang w:val="pt-PT" w:eastAsia="en-US"/>
        </w:rPr>
      </w:pPr>
      <w:r>
        <w:rPr>
          <w:rFonts w:cs="Arial"/>
          <w:b/>
          <w:bCs/>
          <w:sz w:val="24"/>
          <w:lang w:val="pt-PT" w:eastAsia="en-US"/>
        </w:rPr>
        <w:t>CENTRO TECNOLÓGICO DO EXÉRCITO</w:t>
      </w:r>
    </w:p>
    <w:p>
      <w:pPr>
        <w:pStyle w:val="Normal"/>
        <w:widowControl w:val="false"/>
        <w:spacing w:lineRule="auto" w:line="216"/>
        <w:jc w:val="center"/>
        <w:rPr>
          <w:rFonts w:cs="Arial"/>
          <w:b/>
          <w:b/>
          <w:bCs/>
          <w:sz w:val="24"/>
          <w:lang w:val="pt-PT" w:eastAsia="en-US"/>
        </w:rPr>
      </w:pPr>
      <w:bookmarkStart w:id="1" w:name="_Hlk81386706"/>
      <w:r>
        <w:rPr>
          <w:rFonts w:cs="Arial"/>
          <w:b/>
          <w:bCs/>
          <w:color w:val="000000"/>
          <w:sz w:val="24"/>
          <w:lang w:val="pt-PT" w:eastAsia="en-US"/>
        </w:rPr>
        <w:t>CENTRO TECNOLÓGICO GENERAL ARGUS</w:t>
      </w:r>
      <w:bookmarkEnd w:id="1"/>
    </w:p>
    <w:p>
      <w:pPr>
        <w:pStyle w:val="Normal"/>
        <w:jc w:val="center"/>
        <w:rPr>
          <w:rFonts w:cs="Arial"/>
          <w:b/>
          <w:b/>
          <w:bCs/>
          <w:color w:val="000000" w:themeColor="text1"/>
          <w:szCs w:val="20"/>
          <w:lang w:val="pt-PT"/>
        </w:rPr>
      </w:pPr>
      <w:r>
        <w:rPr>
          <w:rFonts w:cs="Arial"/>
          <w:b/>
          <w:bCs/>
          <w:color w:val="000000" w:themeColor="text1"/>
          <w:szCs w:val="20"/>
          <w:lang w:val="pt-PT"/>
        </w:rPr>
      </w:r>
    </w:p>
    <w:p>
      <w:pPr>
        <w:pStyle w:val="Normal"/>
        <w:jc w:val="center"/>
        <w:rPr>
          <w:rFonts w:cs="Arial"/>
          <w:b/>
          <w:b/>
          <w:bCs/>
          <w:color w:val="5B5B5F"/>
          <w:sz w:val="28"/>
          <w:szCs w:val="28"/>
        </w:rPr>
      </w:pPr>
      <w:r>
        <w:rPr>
          <w:rFonts w:cs="Arial"/>
          <w:b/>
          <w:bCs/>
          <w:color w:val="000000" w:themeColor="text1"/>
          <w:szCs w:val="20"/>
        </w:rPr>
        <w:t>AVISO DE CONTRATAÇÃO DIRETA Nº    /2023</w:t>
      </w:r>
    </w:p>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 xml:space="preserve">(Processo Administrativo n.º </w:t>
      </w:r>
      <w:r>
        <w:rPr>
          <w:rFonts w:cs="Arial"/>
          <w:b/>
          <w:bCs/>
          <w:color w:val="000000"/>
          <w:szCs w:val="20"/>
        </w:rPr>
        <w:t>65374.002170/2023-21</w:t>
      </w:r>
      <w:r>
        <w:rPr>
          <w:rFonts w:cs="Arial"/>
          <w:b/>
          <w:bCs/>
          <w:color w:val="000000" w:themeColor="text1"/>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commentRangeStart w:id="1"/>
      <w:r>
        <w:rPr>
          <w:rFonts w:cs="Arial"/>
          <w:color w:val="000000" w:themeColor="text1"/>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themeColor="text1"/>
          <w:szCs w:val="20"/>
        </w:rPr>
        <w:t xml:space="preserve">na hipótese do </w:t>
      </w:r>
      <w:r>
        <w:fldChar w:fldCharType="begin"/>
      </w:r>
      <w:r>
        <w:rPr>
          <w:rStyle w:val="LinkdaInternet"/>
          <w:szCs w:val="20"/>
          <w:rFonts w:cs="Arial"/>
        </w:rPr>
        <w:instrText xml:space="preserve"> HYPERLINK "http://www.planalto.gov.br/ccivil_03/_ato2019-2022/2021/lei/L14133.htm" \l "art75"</w:instrText>
      </w:r>
      <w:r>
        <w:rPr>
          <w:rStyle w:val="LinkdaInternet"/>
          <w:szCs w:val="20"/>
          <w:rFonts w:cs="Arial"/>
        </w:rPr>
        <w:fldChar w:fldCharType="separate"/>
      </w:r>
      <w:r>
        <w:rPr>
          <w:rStyle w:val="LinkdaInternet"/>
          <w:rFonts w:cs="Arial"/>
          <w:szCs w:val="20"/>
        </w:rPr>
        <w:t>art. 75</w:t>
      </w:r>
      <w:r>
        <w:rPr>
          <w:rStyle w:val="LinkdaInternet"/>
          <w:szCs w:val="20"/>
          <w:rFonts w:cs="Arial"/>
        </w:rPr>
        <w:fldChar w:fldCharType="end"/>
      </w:r>
      <w:r>
        <w:rPr>
          <w:rFonts w:cs="Arial"/>
          <w:i/>
          <w:iCs/>
          <w:color w:val="000000" w:themeColor="text1"/>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3">
        <w:r>
          <w:rPr>
            <w:rStyle w:val="LinkdaInternet"/>
            <w:rFonts w:cs="Arial"/>
            <w:bCs/>
            <w:szCs w:val="20"/>
          </w:rPr>
          <w:t>Lei n.º 14.133, de 1º de abril de 2021</w:t>
        </w:r>
      </w:hyperlink>
      <w:r>
        <w:rPr>
          <w:rFonts w:cs="Arial"/>
          <w:bCs/>
          <w:szCs w:val="20"/>
        </w:rPr>
        <w:t xml:space="preserve">, da </w:t>
      </w:r>
      <w:hyperlink r:id="rId4">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commentRangeEnd w:id="1"/>
      <w:r>
        <w:commentReference w:id="1"/>
      </w:r>
      <w:r>
        <w:rPr>
          <w:rFonts w:cs="Arial"/>
          <w:color w:val="000000"/>
          <w:szCs w:val="20"/>
        </w:rPr>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rFonts w:cs="Arial"/>
          <w:b/>
          <w:b/>
          <w:bCs/>
          <w:szCs w:val="20"/>
        </w:rPr>
      </w:pPr>
      <w:r>
        <w:rPr>
          <w:rFonts w:cs="Arial"/>
          <w:b/>
          <w:bCs/>
          <w:color w:val="000000" w:themeColor="text1"/>
          <w:szCs w:val="20"/>
        </w:rPr>
        <w:t xml:space="preserve">Data da sessão: </w:t>
      </w:r>
      <w:r>
        <w:rPr>
          <w:rFonts w:cs="Arial"/>
          <w:b/>
          <w:bCs/>
          <w:color w:val="FF0000"/>
          <w:szCs w:val="20"/>
        </w:rPr>
        <w:t>XX/XX/XXXX</w:t>
      </w:r>
    </w:p>
    <w:p>
      <w:pPr>
        <w:pStyle w:val="Normal"/>
        <w:rPr>
          <w:rFonts w:cs="Arial"/>
          <w:color w:val="000000" w:themeColor="text1"/>
          <w:szCs w:val="20"/>
        </w:rPr>
      </w:pPr>
      <w:commentRangeStart w:id="2"/>
      <w:r>
        <w:rPr>
          <w:rFonts w:cs="Arial"/>
          <w:b/>
          <w:bCs/>
          <w:color w:val="000000" w:themeColor="text1"/>
          <w:szCs w:val="20"/>
        </w:rPr>
        <w:t>Horário da Fase de Lances:</w:t>
      </w:r>
      <w:r>
        <w:rPr>
          <w:rFonts w:cs="Arial"/>
          <w:color w:val="000000" w:themeColor="text1"/>
          <w:szCs w:val="20"/>
        </w:rPr>
        <w:t xml:space="preserve"> 09:00 às </w:t>
      </w:r>
      <w:r>
        <w:rPr>
          <w:rFonts w:cs="Arial"/>
          <w:color w:val="000000" w:themeColor="text1"/>
          <w:szCs w:val="20"/>
        </w:rPr>
      </w:r>
      <w:commentRangeEnd w:id="2"/>
      <w:r>
        <w:commentReference w:id="2"/>
      </w:r>
      <w:r>
        <w:rPr>
          <w:rFonts w:cs="Arial"/>
          <w:color w:val="000000" w:themeColor="text1"/>
          <w:szCs w:val="20"/>
        </w:rPr>
        <w:t>15:00</w:t>
      </w:r>
    </w:p>
    <w:p>
      <w:pPr>
        <w:pStyle w:val="Normal"/>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u w:val="single"/>
        </w:rPr>
        <w:t>https://pncp.gov.br/editais?q=160291&amp;&amp;pagina=1</w:t>
      </w:r>
    </w:p>
    <w:p>
      <w:pPr>
        <w:pStyle w:val="Normal"/>
        <w:spacing w:lineRule="auto" w:line="276"/>
        <w:ind w:right="-15" w:hanging="0"/>
        <w:jc w:val="both"/>
        <w:rPr>
          <w:rFonts w:cs="Arial"/>
          <w:i/>
          <w:i/>
          <w:iCs/>
          <w:color w:val="FF0000"/>
          <w:szCs w:val="20"/>
        </w:rPr>
      </w:pPr>
      <w:r>
        <w:rPr>
          <w:rFonts w:cs="Arial"/>
          <w:b/>
          <w:bCs/>
          <w:i/>
          <w:iCs/>
          <w:szCs w:val="20"/>
        </w:rPr>
        <w:t>Critério de Julgamento:</w:t>
      </w:r>
      <w:r>
        <w:rPr>
          <w:rFonts w:cs="Arial"/>
          <w:szCs w:val="20"/>
        </w:rPr>
        <w:t xml:space="preserve"> </w:t>
      </w:r>
      <w:r>
        <w:rPr>
          <w:rFonts w:cs="Arial"/>
          <w:i/>
          <w:iCs/>
          <w:szCs w:val="20"/>
        </w:rPr>
        <w:t xml:space="preserve">menor preço </w:t>
      </w:r>
    </w:p>
    <w:p>
      <w:pPr>
        <w:pStyle w:val="Normal"/>
        <w:spacing w:lineRule="auto" w:line="276"/>
        <w:ind w:right="-15" w:hanging="0"/>
        <w:jc w:val="both"/>
        <w:rPr>
          <w:rFonts w:cs="Arial"/>
          <w:i/>
          <w:i/>
          <w:iCs/>
          <w:color w:val="FF0000"/>
        </w:rPr>
      </w:pPr>
      <w:r>
        <w:rPr/>
      </w:r>
    </w:p>
    <w:p>
      <w:pPr>
        <w:pStyle w:val="Normal"/>
        <w:spacing w:lineRule="auto" w:line="276"/>
        <w:ind w:right="-15" w:hanging="0"/>
        <w:jc w:val="both"/>
        <w:rPr>
          <w:rFonts w:cs="Arial"/>
          <w:b/>
          <w:b/>
          <w:bCs/>
          <w:i/>
          <w:i/>
          <w:iCs/>
          <w:color w:val="FF0000"/>
        </w:rPr>
      </w:pPr>
      <w:r>
        <w:rPr>
          <w:rFonts w:cs="Arial"/>
          <w:b/>
          <w:bCs/>
          <w:i/>
          <w:iCs/>
          <w:color w:val="FF0000"/>
        </w:rPr>
      </w:r>
    </w:p>
    <w:p>
      <w:pPr>
        <w:pStyle w:val="Normal"/>
        <w:rPr/>
      </w:pPr>
      <w:r>
        <w:rPr/>
      </w:r>
    </w:p>
    <w:p>
      <w:pPr>
        <w:pStyle w:val="Ttulo1"/>
        <w:rPr/>
      </w:pPr>
      <w:bookmarkStart w:id="2" w:name="_Toc118380899"/>
      <w:r>
        <w:rPr/>
        <w:t>OBJETO DA CONTRATAÇÃO DIRETA</w:t>
      </w:r>
      <w:bookmarkEnd w:id="2"/>
    </w:p>
    <w:p>
      <w:pPr>
        <w:pStyle w:val="PADRO"/>
        <w:keepNext w:val="false"/>
        <w:widowControl/>
        <w:numPr>
          <w:ilvl w:val="1"/>
          <w:numId w:val="1"/>
        </w:numPr>
        <w:shd w:val="clear" w:color="auto" w:fill="auto"/>
        <w:spacing w:before="120" w:after="120"/>
        <w:rPr>
          <w:sz w:val="20"/>
          <w:szCs w:val="20"/>
        </w:rPr>
      </w:pPr>
      <w:r>
        <w:rPr>
          <w:rFonts w:cs="Arial" w:ascii="Arial" w:hAnsi="Arial"/>
          <w:color w:val="000000" w:themeColor="text1"/>
          <w:sz w:val="20"/>
          <w:szCs w:val="20"/>
        </w:rPr>
        <w:t xml:space="preserve">O objeto da presente dispensa é a escolha da proposta mais vantajosa para a </w:t>
      </w:r>
      <w:r>
        <w:rPr>
          <w:rFonts w:cs="Arial" w:ascii="Arial" w:hAnsi="Arial"/>
          <w:sz w:val="20"/>
          <w:szCs w:val="20"/>
        </w:rPr>
        <w:t xml:space="preserve">contratação, </w:t>
      </w:r>
      <w:r>
        <w:rPr>
          <w:rFonts w:cs="Arial" w:ascii="Arial" w:hAnsi="Arial"/>
          <w:color w:val="000000" w:themeColor="text1"/>
          <w:sz w:val="20"/>
          <w:szCs w:val="20"/>
        </w:rPr>
        <w:t>por dispensa de licitação, de</w:t>
      </w:r>
      <w:r>
        <w:rPr>
          <w:rFonts w:cs="Arial" w:ascii="Arial" w:hAnsi="Arial"/>
          <w:color w:val="FF0000"/>
          <w:sz w:val="20"/>
          <w:szCs w:val="20"/>
        </w:rPr>
        <w:t xml:space="preserve"> </w:t>
      </w:r>
      <w:r>
        <w:rPr>
          <w:rFonts w:cs="Arial" w:ascii="Arial" w:hAnsi="Arial"/>
          <w:color w:val="000000"/>
          <w:sz w:val="20"/>
          <w:szCs w:val="20"/>
        </w:rPr>
        <w:t>Aquisição de Bomba Centrífuga 2’X11/2’ 3CV 220V/380V para restabelecer o abastecimento de água no IDQBRN, permitindo a continuidade de execução das atividades-meio e atividades finalísticas</w:t>
      </w:r>
      <w:r>
        <w:rPr>
          <w:rFonts w:cs="Arial" w:ascii="Arial" w:hAnsi="Arial"/>
          <w:b/>
          <w:bCs/>
          <w:color w:val="000000" w:themeColor="text1"/>
          <w:sz w:val="20"/>
          <w:szCs w:val="20"/>
        </w:rPr>
        <w:t>,</w:t>
      </w:r>
      <w:r>
        <w:rPr>
          <w:rFonts w:cs="Arial" w:ascii="Arial" w:hAnsi="Arial"/>
          <w:color w:val="000000" w:themeColor="text1"/>
          <w:sz w:val="20"/>
          <w:szCs w:val="20"/>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cs="Arial"/>
          <w:szCs w:val="20"/>
        </w:rPr>
      </w:pPr>
      <w:commentRangeStart w:id="3"/>
      <w:r>
        <w:rPr>
          <w:rFonts w:cs="Arial" w:ascii="Arial" w:hAnsi="Arial"/>
          <w:szCs w:val="20"/>
        </w:rPr>
        <w:t>A contratação ocorrerá conforme tabela abaixo.</w:t>
      </w:r>
      <w:commentRangeEnd w:id="3"/>
      <w:r>
        <w:commentReference w:id="3"/>
      </w:r>
      <w:r>
        <w:rPr>
          <w:rFonts w:cs="Arial" w:ascii="Arial" w:hAnsi="Arial"/>
          <w:szCs w:val="20"/>
        </w:rPr>
      </w:r>
    </w:p>
    <w:tbl>
      <w:tblPr>
        <w:tblW w:w="8835" w:type="dxa"/>
        <w:jc w:val="left"/>
        <w:tblInd w:w="137" w:type="dxa"/>
        <w:tblLayout w:type="fixed"/>
        <w:tblCellMar>
          <w:top w:w="0" w:type="dxa"/>
          <w:left w:w="108" w:type="dxa"/>
          <w:bottom w:w="0" w:type="dxa"/>
          <w:right w:w="108" w:type="dxa"/>
        </w:tblCellMar>
        <w:tblLook w:firstRow="1" w:noVBand="1" w:lastRow="0" w:firstColumn="1" w:lastColumn="0" w:noHBand="0" w:val="04a0"/>
      </w:tblPr>
      <w:tblGrid>
        <w:gridCol w:w="707"/>
        <w:gridCol w:w="3686"/>
        <w:gridCol w:w="1136"/>
        <w:gridCol w:w="1491"/>
        <w:gridCol w:w="1815"/>
      </w:tblGrid>
      <w:tr>
        <w:trPr/>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b/>
                <w:b/>
                <w:bCs/>
                <w:color w:val="000000"/>
                <w:szCs w:val="20"/>
              </w:rPr>
            </w:pPr>
            <w:r>
              <w:rPr>
                <w:rFonts w:cs="Arial"/>
                <w:b/>
                <w:bCs/>
                <w:color w:val="000000"/>
                <w:szCs w:val="20"/>
              </w:rPr>
              <w:t>ITEM</w:t>
            </w:r>
          </w:p>
          <w:p>
            <w:pPr>
              <w:pStyle w:val="Normal"/>
              <w:widowControl w:val="false"/>
              <w:spacing w:lineRule="auto" w:line="276"/>
              <w:jc w:val="center"/>
              <w:rPr>
                <w:rFonts w:cs="Arial"/>
                <w:b/>
                <w:b/>
                <w:color w:val="000000"/>
                <w:szCs w:val="20"/>
              </w:rPr>
            </w:pPr>
            <w:r>
              <w:rPr>
                <w:rFonts w:cs="Arial"/>
                <w:b/>
                <w:color w:val="000000"/>
                <w:szCs w:val="20"/>
              </w:rPr>
            </w:r>
          </w:p>
        </w:tc>
        <w:tc>
          <w:tcPr>
            <w:tcW w:w="3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b/>
                <w:bCs/>
                <w:color w:val="000000"/>
                <w:szCs w:val="20"/>
              </w:rPr>
              <w:t>ESPECIFICAÇÃO</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b/>
                <w:bCs/>
                <w:color w:val="000000"/>
                <w:szCs w:val="20"/>
              </w:rPr>
              <w:t>CATSER/CATMAT</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b/>
                <w:bCs/>
                <w:color w:val="000000"/>
                <w:szCs w:val="20"/>
              </w:rPr>
              <w:t>UNIDADE DE MEDIDA</w:t>
            </w:r>
          </w:p>
        </w:tc>
        <w:tc>
          <w:tcPr>
            <w:tcW w:w="18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b/>
                <w:b/>
                <w:bCs/>
                <w:szCs w:val="20"/>
              </w:rPr>
            </w:pPr>
            <w:r>
              <w:rPr>
                <w:rFonts w:cs="Arial"/>
                <w:b/>
                <w:bCs/>
                <w:szCs w:val="20"/>
              </w:rPr>
              <w:t>QUANTIDADE</w:t>
            </w:r>
          </w:p>
        </w:tc>
      </w:tr>
      <w:tr>
        <w:trPr/>
        <w:tc>
          <w:tcPr>
            <w:tcW w:w="7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b/>
                <w:b/>
                <w:color w:val="000000"/>
                <w:szCs w:val="20"/>
              </w:rPr>
            </w:pPr>
            <w:r>
              <w:rPr>
                <w:rFonts w:cs="Arial"/>
                <w:b/>
                <w:color w:val="000000"/>
                <w:szCs w:val="20"/>
              </w:rPr>
              <w:t>1</w:t>
            </w:r>
          </w:p>
        </w:tc>
        <w:tc>
          <w:tcPr>
            <w:tcW w:w="3686" w:type="dxa"/>
            <w:tcBorders>
              <w:top w:val="single" w:sz="4" w:space="0" w:color="000000"/>
              <w:left w:val="single" w:sz="4" w:space="0" w:color="000000"/>
              <w:bottom w:val="single" w:sz="4" w:space="0" w:color="000000"/>
              <w:right w:val="single" w:sz="4" w:space="0" w:color="000000"/>
            </w:tcBorders>
          </w:tcPr>
          <w:p>
            <w:pPr>
              <w:pStyle w:val="Normal"/>
              <w:jc w:val="both"/>
              <w:rPr>
                <w:rFonts w:ascii="Calibri" w:hAnsi="Calibri"/>
                <w:sz w:val="22"/>
                <w:szCs w:val="22"/>
              </w:rPr>
            </w:pPr>
            <w:r>
              <w:rPr>
                <w:rFonts w:ascii="Calibri" w:hAnsi="Calibri"/>
                <w:sz w:val="22"/>
                <w:szCs w:val="22"/>
              </w:rPr>
              <w:t>BOMBA CENTRÍFUGA 2’x11/2’ 3CV 220 V/380 V</w:t>
            </w:r>
          </w:p>
        </w:tc>
        <w:tc>
          <w:tcPr>
            <w:tcW w:w="11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color w:val="000000"/>
                <w:szCs w:val="20"/>
              </w:rPr>
              <w:t>150807</w:t>
            </w:r>
          </w:p>
        </w:tc>
        <w:tc>
          <w:tcPr>
            <w:tcW w:w="14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color w:val="000000"/>
                <w:szCs w:val="20"/>
              </w:rPr>
              <w:t>UND</w:t>
            </w:r>
          </w:p>
        </w:tc>
        <w:tc>
          <w:tcPr>
            <w:tcW w:w="18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cs="Arial"/>
                <w:color w:val="000000"/>
                <w:szCs w:val="20"/>
              </w:rPr>
            </w:pPr>
            <w:r>
              <w:rPr>
                <w:rFonts w:cs="Arial"/>
                <w:color w:val="000000"/>
                <w:szCs w:val="20"/>
              </w:rPr>
              <w:t>02</w:t>
            </w:r>
          </w:p>
        </w:tc>
      </w:tr>
    </w:tbl>
    <w:p>
      <w:pPr>
        <w:pStyle w:val="PADRO"/>
        <w:keepNext w:val="false"/>
        <w:widowControl/>
        <w:shd w:val="clear" w:color="auto" w:fill="auto"/>
        <w:spacing w:before="120" w:after="120"/>
        <w:rPr>
          <w:rFonts w:ascii="Arial" w:hAnsi="Arial" w:cs="Arial"/>
          <w:szCs w:val="20"/>
        </w:rPr>
      </w:pPr>
      <w:r>
        <w:rPr>
          <w:rFonts w:cs="Arial" w:ascii="Arial" w:hAnsi="Arial"/>
          <w:szCs w:val="20"/>
        </w:rPr>
      </w:r>
    </w:p>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um item, faculta-se ao fornecedor a participação em quantos forem de seu interesse.</w:t>
      </w:r>
    </w:p>
    <w:p>
      <w:pPr>
        <w:pStyle w:val="PADRO"/>
        <w:keepNext w:val="false"/>
        <w:widowControl/>
        <w:numPr>
          <w:ilvl w:val="1"/>
          <w:numId w:val="1"/>
        </w:numPr>
        <w:shd w:val="clear" w:color="auto" w:fill="auto"/>
        <w:spacing w:before="120" w:after="120"/>
        <w:rPr>
          <w:rFonts w:ascii="Arial" w:hAnsi="Arial" w:cs="Arial"/>
          <w:color w:val="000000" w:themeColor="text1"/>
          <w:szCs w:val="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szCs w:val="20"/>
        </w:rPr>
        <w:t>menor preço, observadas as exigências contidas neste Aviso de Contratação Direta e seus Anexos quanto às especificações do objeto.</w:t>
      </w:r>
    </w:p>
    <w:p>
      <w:pPr>
        <w:pStyle w:val="Ttulo1"/>
        <w:rPr/>
      </w:pPr>
      <w:r>
        <w:rPr/>
        <w:t>P</w:t>
      </w:r>
      <w:bookmarkStart w:id="3" w:name="_Toc118380900"/>
      <w:r>
        <w:rPr/>
        <w:t>ARTICIPAÇÃO NA DISPENSA ELETRÔNICA.</w:t>
      </w:r>
      <w:bookmarkEnd w:id="3"/>
    </w:p>
    <w:p>
      <w:pPr>
        <w:pStyle w:val="Normal"/>
        <w:numPr>
          <w:ilvl w:val="1"/>
          <w:numId w:val="1"/>
        </w:numPr>
        <w:spacing w:lineRule="auto" w:line="276" w:before="120" w:after="120"/>
        <w:ind w:left="425" w:hanging="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5">
        <w:r>
          <w:rPr>
            <w:rStyle w:val="LinkdaInternet"/>
            <w:rFonts w:cs="Arial"/>
            <w:bCs/>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rFonts w:cs="Arial"/>
          <w:szCs w:val="20"/>
        </w:rPr>
      </w:pPr>
      <w:r>
        <w:rPr>
          <w:rFonts w:cs="Arial"/>
          <w:szCs w:val="20"/>
        </w:rPr>
        <w:t xml:space="preserve">O procedimento será divulgado no Compras.gov.br e no </w:t>
      </w:r>
      <w:hyperlink r:id="rId6">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rFonts w:cs="Arial"/>
          <w:szCs w:val="20"/>
        </w:rPr>
      </w:pPr>
      <w:r>
        <w:rPr>
          <w:rFonts w:cs="Arial"/>
          <w:szCs w:val="20"/>
        </w:rPr>
        <w:t xml:space="preserve">O Compras.gov.br poderá ser acessado pela web ou pelo </w:t>
      </w:r>
      <w:hyperlink r:id="rId7">
        <w:r>
          <w:rPr>
            <w:rStyle w:val="LinkdaInternet"/>
            <w:rFonts w:cs="Arial"/>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de licitação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8">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1"/>
          <w:numId w:val="1"/>
        </w:numPr>
        <w:spacing w:lineRule="auto" w:line="276" w:before="120" w:after="120"/>
        <w:jc w:val="both"/>
        <w:rPr>
          <w:rFonts w:cs="Arial"/>
          <w:i/>
          <w:i/>
          <w:szCs w:val="20"/>
        </w:rPr>
      </w:pPr>
      <w:commentRangeStart w:id="4"/>
      <w:r>
        <w:rPr>
          <w:rFonts w:cs="Arial"/>
          <w:i/>
          <w:szCs w:val="20"/>
        </w:rPr>
        <w:t xml:space="preserve">Será permitida a participação de cooperativas, desde que apresentem demonstrativo de atuação em regime cooperado, com repartição de receitas e despesas entre os cooperados e atendam ao </w:t>
      </w:r>
      <w:r>
        <w:fldChar w:fldCharType="begin"/>
      </w:r>
      <w:r>
        <w:rPr>
          <w:rStyle w:val="LinkdaInternet"/>
          <w:i/>
          <w:szCs w:val="20"/>
          <w:rFonts w:cs="Arial"/>
          <w:color w:val="auto"/>
        </w:rPr>
        <w:instrText xml:space="preserve"> HYPERLINK "http://www.planalto.gov.br/ccivil_03/_ato2019-2022/2021/lei/L14133.htm" \l "art16"</w:instrText>
      </w:r>
      <w:r>
        <w:rPr>
          <w:rStyle w:val="LinkdaInternet"/>
          <w:i/>
          <w:szCs w:val="20"/>
          <w:rFonts w:cs="Arial"/>
          <w:color w:val="auto"/>
        </w:rPr>
        <w:fldChar w:fldCharType="separate"/>
      </w:r>
      <w:r>
        <w:rPr>
          <w:rStyle w:val="LinkdaInternet"/>
          <w:rFonts w:cs="Arial"/>
          <w:i/>
          <w:color w:val="auto"/>
          <w:szCs w:val="20"/>
        </w:rPr>
        <w:t>art. 16 da Lei nº 14.133, de 2021</w:t>
      </w:r>
      <w:r>
        <w:rPr>
          <w:rStyle w:val="LinkdaInternet"/>
          <w:i/>
          <w:szCs w:val="20"/>
          <w:rFonts w:cs="Arial"/>
          <w:color w:val="auto"/>
        </w:rPr>
        <w:fldChar w:fldCharType="end"/>
      </w:r>
      <w:r>
        <w:rPr>
          <w:rFonts w:cs="Arial"/>
          <w:i/>
          <w:szCs w:val="20"/>
        </w:rPr>
        <w:t>.</w:t>
      </w:r>
    </w:p>
    <w:p>
      <w:pPr>
        <w:pStyle w:val="Normal"/>
        <w:numPr>
          <w:ilvl w:val="2"/>
          <w:numId w:val="1"/>
        </w:numPr>
        <w:spacing w:lineRule="auto" w:line="276" w:before="120" w:after="120"/>
        <w:jc w:val="both"/>
        <w:rPr>
          <w:rFonts w:cs="Arial"/>
          <w:i/>
          <w:i/>
          <w:iCs/>
          <w:szCs w:val="20"/>
        </w:rPr>
      </w:pPr>
      <w:r>
        <w:rPr>
          <w:rFonts w:cs="Arial"/>
          <w:i/>
          <w:iCs/>
          <w:szCs w:val="20"/>
        </w:rPr>
        <w:t xml:space="preserve">Em sendo permitida a participação de cooperativas, serão estendidas a elas os benefícios previstos para as microempresas e empresas de pequeno porte quando elas atenderem ao disposto </w:t>
      </w:r>
      <w:r>
        <w:fldChar w:fldCharType="begin"/>
      </w:r>
      <w:r>
        <w:rPr>
          <w:rStyle w:val="LinkdaInternet"/>
          <w:i/>
          <w:szCs w:val="20"/>
          <w:iCs/>
          <w:rFonts w:cs="Arial"/>
          <w:color w:val="auto"/>
        </w:rPr>
        <w:instrText xml:space="preserve"> HYPERLINK "https://www.planalto.gov.br/ccivil_03/_ato2007-2010/2007/lei/l11488.htm" \l "art34"</w:instrText>
      </w:r>
      <w:r>
        <w:rPr>
          <w:rStyle w:val="LinkdaInternet"/>
          <w:i/>
          <w:szCs w:val="20"/>
          <w:iCs/>
          <w:rFonts w:cs="Arial"/>
          <w:color w:val="auto"/>
        </w:rPr>
        <w:fldChar w:fldCharType="separate"/>
      </w:r>
      <w:r>
        <w:rPr>
          <w:rStyle w:val="LinkdaInternet"/>
          <w:rFonts w:cs="Arial"/>
          <w:i/>
          <w:iCs/>
          <w:color w:val="auto"/>
          <w:szCs w:val="20"/>
        </w:rPr>
        <w:t>no art. 34 da Lei n.º 11.488, de 15 de junho de 2007</w:t>
      </w:r>
      <w:r>
        <w:rPr>
          <w:rStyle w:val="LinkdaInternet"/>
          <w:i/>
          <w:szCs w:val="20"/>
          <w:iCs/>
          <w:rFonts w:cs="Arial"/>
          <w:color w:val="auto"/>
        </w:rPr>
        <w:fldChar w:fldCharType="end"/>
      </w:r>
      <w:r>
        <w:rPr>
          <w:rFonts w:cs="Arial"/>
          <w:i/>
          <w:iCs/>
          <w:szCs w:val="20"/>
        </w:rPr>
        <w:t>.</w:t>
      </w:r>
      <w:commentRangeEnd w:id="4"/>
      <w:r>
        <w:commentReference w:id="4"/>
      </w:r>
      <w:r>
        <w:rPr>
          <w:rFonts w:cs="Arial"/>
          <w:i/>
          <w:iCs/>
          <w:szCs w:val="20"/>
        </w:rPr>
      </w:r>
    </w:p>
    <w:p>
      <w:pPr>
        <w:pStyle w:val="Normal"/>
        <w:numPr>
          <w:ilvl w:val="1"/>
          <w:numId w:val="1"/>
        </w:numPr>
        <w:spacing w:lineRule="auto" w:line="276" w:before="120" w:after="120"/>
        <w:ind w:left="425" w:hanging="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xml:space="preserve"> HYPERLINK "http://www.planalto.gov.br/ccivil_03/_ato2019-2022/2021/lei/L14133.htm" \l "art9§1"</w:instrText>
      </w:r>
      <w:r>
        <w:rPr>
          <w:rStyle w:val="LinkdaInternet"/>
          <w:bCs/>
          <w:rFonts w:cs="Arial"/>
        </w:rPr>
        <w:fldChar w:fldCharType="separate"/>
      </w:r>
      <w:r>
        <w:rPr>
          <w:rStyle w:val="LinkdaInternet"/>
          <w:rFonts w:cs="Arial"/>
          <w:bCs/>
        </w:rPr>
        <w:t>§ 1º do art. 9º da Lei n.º 14.133, de 2021</w:t>
      </w:r>
      <w:r>
        <w:rPr>
          <w:rStyle w:val="LinkdaInternet"/>
          <w:bCs/>
          <w:rFonts w:cs="Arial"/>
        </w:rPr>
        <w:fldChar w:fldCharType="end"/>
      </w:r>
      <w:r>
        <w:rPr>
          <w:rFonts w:cs="Arial"/>
          <w:bCs/>
        </w:rPr>
        <w:t>.</w:t>
      </w:r>
    </w:p>
    <w:p>
      <w:pPr>
        <w:pStyle w:val="Normal"/>
        <w:spacing w:lineRule="auto" w:line="276" w:before="120" w:after="120"/>
        <w:ind w:left="425" w:hanging="0"/>
        <w:jc w:val="both"/>
        <w:rPr>
          <w:rFonts w:cs="Arial"/>
          <w:bCs/>
        </w:rPr>
      </w:pPr>
      <w:r>
        <w:rPr>
          <w:rFonts w:cs="Arial"/>
          <w:bCs/>
        </w:rPr>
      </w:r>
    </w:p>
    <w:p>
      <w:pPr>
        <w:pStyle w:val="Ttulo1"/>
        <w:rPr/>
      </w:pPr>
      <w:bookmarkStart w:id="4" w:name="_Toc118380901"/>
      <w:r>
        <w:rPr/>
        <w:t>INGRESSO NA DISPENSA ELETRÔNICA E CADASTRAMENTO DA PROPOSTA INICIAL</w:t>
      </w:r>
      <w:bookmarkEnd w:id="4"/>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hanging="0"/>
        <w:jc w:val="both"/>
        <w:rPr>
          <w:rFonts w:cs="Arial"/>
          <w:szCs w:val="20"/>
        </w:rPr>
      </w:pPr>
      <w:commentRangeStart w:id="5"/>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Projeto Básico e Projeto Executivo</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5"/>
      <w:r>
        <w:commentReference w:id="5"/>
      </w:r>
      <w:r>
        <w:rPr>
          <w:rFonts w:cs="Arial"/>
          <w:szCs w:val="20"/>
        </w:rPr>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xml:space="preserve"> HYPERLINK "https://www.planalto.gov.br/ccivil_03/leis/l8213cons.htm" \l "art93"</w:instrText>
      </w:r>
      <w:r>
        <w:rPr>
          <w:rStyle w:val="LinkdaInternet"/>
          <w:szCs w:val="20"/>
          <w:rFonts w:cs="Arial"/>
        </w:rPr>
        <w:fldChar w:fldCharType="separate"/>
      </w:r>
      <w:r>
        <w:rPr>
          <w:rStyle w:val="LinkdaInternet"/>
          <w:rFonts w:cs="Arial"/>
          <w:szCs w:val="20"/>
        </w:rPr>
        <w:t>o art. 93 da Lei nº 8.213/91</w:t>
      </w:r>
      <w:r>
        <w:rPr>
          <w:rStyle w:val="LinkdaInternet"/>
          <w:szCs w:val="20"/>
          <w:rFonts w:cs="Arial"/>
        </w:rPr>
        <w:fldChar w:fldCharType="end"/>
      </w:r>
      <w:r>
        <w:rPr>
          <w:rFonts w:cs="Arial"/>
          <w:color w:val="000000" w:themeColor="text1"/>
          <w:szCs w:val="20"/>
        </w:rPr>
        <w:t>.</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xml:space="preserve"> HYPERLINK "https://normas.leg.br/?urn=urn:lex:br:federal:constituicao:1988-10-05;1988" \l "art7"</w:instrText>
      </w:r>
      <w:r>
        <w:rPr>
          <w:rStyle w:val="LinkdaInternet"/>
          <w:szCs w:val="20"/>
          <w:rFonts w:cs="Arial"/>
        </w:rPr>
        <w:fldChar w:fldCharType="separate"/>
      </w:r>
      <w:r>
        <w:rPr>
          <w:rStyle w:val="LinkdaInternet"/>
          <w:rFonts w:cs="Arial"/>
          <w:szCs w:val="20"/>
        </w:rPr>
        <w:t>artigo 7°, XXXIII, da Constituição</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r>
        <w:fldChar w:fldCharType="begin"/>
      </w:r>
      <w:r>
        <w:rPr>
          <w:rStyle w:val="LinkdaInternet"/>
          <w:szCs w:val="20"/>
          <w:rFonts w:cs="Arial"/>
        </w:rPr>
        <w:instrText xml:space="preserve"> HYPERLINK "http://www.planalto.gov.br/ccivil_03/_ato2019-2022/2021/lei/L14133.htm" \l "art16"</w:instrText>
      </w:r>
      <w:r>
        <w:rPr>
          <w:rStyle w:val="LinkdaInternet"/>
          <w:szCs w:val="20"/>
          <w:rFonts w:cs="Arial"/>
        </w:rPr>
        <w:fldChar w:fldCharType="separate"/>
      </w:r>
      <w:r>
        <w:rPr>
          <w:rStyle w:val="LinkdaInternet"/>
          <w:rFonts w:cs="Arial"/>
          <w:szCs w:val="20"/>
        </w:rPr>
        <w:t>artigo 16 da Lei nº 14.133, de 2021.</w:t>
      </w:r>
      <w:r>
        <w:rPr>
          <w:rStyle w:val="LinkdaInternet"/>
          <w:szCs w:val="20"/>
          <w:rFonts w:cs="Arial"/>
        </w:rPr>
        <w:fldChar w:fldCharType="end"/>
      </w:r>
    </w:p>
    <w:p>
      <w:pPr>
        <w:pStyle w:val="Normal"/>
        <w:numPr>
          <w:ilvl w:val="1"/>
          <w:numId w:val="1"/>
        </w:numPr>
        <w:spacing w:lineRule="auto" w:line="276" w:before="120" w:after="120"/>
        <w:jc w:val="both"/>
        <w:rPr>
          <w:rFonts w:cs="Arial"/>
          <w:szCs w:val="20"/>
        </w:rPr>
      </w:pPr>
      <w:commentRangeStart w:id="6"/>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xml:space="preserve"> HYPERLINK "https://www.planalto.gov.br/ccivil_03/leis/lcp/lcp123.htm" \l "art3"</w:instrText>
      </w:r>
      <w:r>
        <w:rPr>
          <w:rStyle w:val="LinkdaInternet"/>
          <w:szCs w:val="20"/>
          <w:rFonts w:cs="Arial"/>
        </w:rPr>
        <w:fldChar w:fldCharType="separate"/>
      </w:r>
      <w:r>
        <w:rPr>
          <w:rStyle w:val="LinkdaInternet"/>
          <w:rFonts w:cs="Arial"/>
          <w:szCs w:val="20"/>
        </w:rPr>
        <w:t>artigo 3° da Lei Complementar nº 123, de 2006</w:t>
      </w:r>
      <w:r>
        <w:rPr>
          <w:rStyle w:val="LinkdaInternet"/>
          <w:szCs w:val="20"/>
          <w:rFonts w:cs="Arial"/>
        </w:rPr>
        <w:fldChar w:fldCharType="end"/>
      </w:r>
      <w:r>
        <w:rPr>
          <w:rFonts w:cs="Arial"/>
          <w:color w:val="000000" w:themeColor="text1"/>
          <w:szCs w:val="20"/>
        </w:rPr>
        <w:t xml:space="preserve">, estando apto a usufruir do tratamento favorecido estabelecido em seus arts. 42 </w:t>
      </w:r>
      <w:r>
        <w:rPr>
          <w:rFonts w:cs="Arial"/>
          <w:szCs w:val="20"/>
        </w:rPr>
        <w:t xml:space="preserve">a 49, observado o disposto nos </w:t>
      </w:r>
      <w:r>
        <w:fldChar w:fldCharType="begin"/>
      </w:r>
      <w:r>
        <w:rPr>
          <w:rStyle w:val="LinkdaInternet"/>
          <w:szCs w:val="20"/>
          <w:rFonts w:cs="Arial"/>
          <w:color w:val="auto"/>
        </w:rPr>
        <w:instrText xml:space="preserve"> HYPERLINK "http://www.planalto.gov.br/ccivil_03/_ato2019-2022/2021/lei/L14133.htm" \l "art4§1"</w:instrText>
      </w:r>
      <w:r>
        <w:rPr>
          <w:rStyle w:val="LinkdaInternet"/>
          <w:szCs w:val="20"/>
          <w:rFonts w:cs="Arial"/>
          <w:color w:val="auto"/>
        </w:rPr>
        <w:fldChar w:fldCharType="separate"/>
      </w:r>
      <w:r>
        <w:rPr>
          <w:rStyle w:val="LinkdaInternet"/>
          <w:rFonts w:cs="Arial"/>
          <w:color w:val="auto"/>
          <w:szCs w:val="20"/>
        </w:rPr>
        <w:t>§§ 1º ao 3º do art. 4º, da Lei n.º 14.133, de 2021.</w:t>
      </w:r>
      <w:r>
        <w:rPr>
          <w:rStyle w:val="LinkdaInternet"/>
          <w:szCs w:val="20"/>
          <w:rFonts w:cs="Arial"/>
          <w:color w:val="auto"/>
        </w:rPr>
        <w:fldChar w:fldCharType="end"/>
      </w:r>
      <w:commentRangeEnd w:id="6"/>
      <w:r>
        <w:commentReference w:id="6"/>
      </w:r>
      <w:r>
        <w:rPr>
          <w:rStyle w:val="LinkdaInternet"/>
          <w:rFonts w:cs="Arial"/>
          <w:color w:val="auto"/>
          <w:szCs w:val="20"/>
        </w:rPr>
      </w:r>
    </w:p>
    <w:p>
      <w:pPr>
        <w:pStyle w:val="Normal"/>
        <w:numPr>
          <w:ilvl w:val="1"/>
          <w:numId w:val="1"/>
        </w:numPr>
        <w:spacing w:lineRule="auto" w:line="276" w:before="120" w:after="120"/>
        <w:jc w:val="both"/>
        <w:rPr>
          <w:rFonts w:cs="Arial"/>
          <w:i/>
          <w:i/>
          <w:szCs w:val="20"/>
        </w:rPr>
      </w:pPr>
      <w:commentRangeStart w:id="7"/>
      <w:r>
        <w:rPr>
          <w:rFonts w:cs="Arial"/>
          <w:i/>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cs="Arial"/>
          <w:i/>
          <w:i/>
          <w:szCs w:val="20"/>
        </w:rPr>
      </w:pPr>
      <w:r>
        <w:rPr>
          <w:rFonts w:cs="Arial"/>
          <w:i/>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cs="Arial"/>
          <w:i/>
          <w:i/>
          <w:szCs w:val="20"/>
        </w:rPr>
      </w:pPr>
      <w:r>
        <w:rPr>
          <w:rFonts w:cs="Arial"/>
          <w:i/>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cs="Arial"/>
          <w:i/>
          <w:i/>
          <w:szCs w:val="20"/>
        </w:rPr>
      </w:pPr>
      <w:r>
        <w:rPr>
          <w:rFonts w:cs="Arial"/>
          <w:i/>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cs="Arial"/>
          <w:i/>
          <w:i/>
          <w:szCs w:val="20"/>
        </w:rPr>
      </w:pPr>
      <w:r>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7"/>
      <w:r>
        <w:commentReference w:id="7"/>
      </w:r>
      <w:r>
        <w:rPr>
          <w:rFonts w:cs="Arial"/>
          <w:i/>
          <w:szCs w:val="20"/>
        </w:rPr>
      </w:r>
    </w:p>
    <w:p>
      <w:pPr>
        <w:pStyle w:val="Ttulo1"/>
        <w:rPr/>
      </w:pPr>
      <w:bookmarkStart w:id="5" w:name="_Toc118380902"/>
      <w:r>
        <w:rPr/>
        <w:t>FASE DE LANCES</w:t>
      </w:r>
      <w:bookmarkEnd w:id="5"/>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pPr>
        <w:pStyle w:val="Quote"/>
        <w:numPr>
          <w:ilvl w:val="1"/>
          <w:numId w:val="1"/>
        </w:numPr>
        <w:pBdr>
          <w:top w:val="nil"/>
          <w:left w:val="nil"/>
          <w:bottom w:val="nil"/>
          <w:right w:val="nil"/>
        </w:pBdr>
        <w:shd w:val="clear" w:color="auto" w:fill="FFFFFF" w:themeFill="background1"/>
        <w:spacing w:lineRule="auto" w:line="276" w:before="120" w:after="120"/>
        <w:contextualSpacing/>
        <w:rPr>
          <w:rFonts w:cs="Arial"/>
          <w:i w:val="false"/>
          <w:i w:val="false"/>
          <w:iCs w:val="false"/>
          <w:color w:val="000000" w:themeColor="text1"/>
          <w:szCs w:val="20"/>
        </w:rPr>
      </w:pPr>
      <w:r>
        <w:rPr>
          <w:rFonts w:cs="Arial"/>
          <w:i w:val="false"/>
          <w:iCs w:val="false"/>
          <w:color w:val="000000" w:themeColor="text1"/>
          <w:szCs w:val="20"/>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Ttulo1"/>
        <w:rPr/>
      </w:pPr>
      <w:bookmarkStart w:id="6" w:name="_Toc118380903"/>
      <w:r>
        <w:rPr/>
        <w:t>JULGAMENTO DAS PROPOSTAS DE PREÇO</w:t>
      </w:r>
      <w:bookmarkEnd w:id="6"/>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do primeiro colocado estar acima do preço máximo definido para a contratação,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pPr>
        <w:pStyle w:val="ListParagraph"/>
        <w:numPr>
          <w:ilvl w:val="2"/>
          <w:numId w:val="1"/>
        </w:numPr>
        <w:spacing w:lineRule="auto" w:line="276" w:before="120" w:after="120"/>
        <w:contextualSpacing/>
        <w:jc w:val="both"/>
        <w:rPr>
          <w:rFonts w:cs="Arial"/>
        </w:rPr>
      </w:pPr>
      <w:r>
        <w:rPr>
          <w:rFonts w:cs="Arial"/>
        </w:rPr>
        <w:t xml:space="preserve">A negociação poderá ser feita com os demais fornecedores classificados, </w:t>
      </w:r>
      <w:r>
        <w:rPr>
          <w:rFonts w:ascii="Helvetica" w:hAnsi="Helvetica"/>
          <w:shd w:fill="FFFFFF" w:val="clear"/>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pPr>
        <w:pStyle w:val="ListParagraph"/>
        <w:numPr>
          <w:ilvl w:val="1"/>
          <w:numId w:val="1"/>
        </w:numPr>
        <w:spacing w:lineRule="auto" w:line="276" w:before="120" w:after="120"/>
        <w:contextualSpacing/>
        <w:jc w:val="both"/>
        <w:rPr>
          <w:rFonts w:cs="Arial"/>
        </w:rPr>
      </w:pPr>
      <w:r>
        <w:rPr>
          <w:rFonts w:cs="Arial"/>
        </w:rPr>
        <w:t xml:space="preserve">Em qualquer caso, concluída a negociação, se houver, o resultado será registrado na ata do procedimento da dispensa eletrônica, </w:t>
      </w:r>
      <w:r>
        <w:rPr>
          <w:rFonts w:ascii="Helvetica" w:hAnsi="Helvetica"/>
          <w:shd w:fill="FFFFFF" w:val="clear"/>
        </w:rPr>
        <w:t>devendo esta ser anexada aos autos do processo de contratação.</w:t>
      </w:r>
    </w:p>
    <w:p>
      <w:pPr>
        <w:pStyle w:val="ListParagraph"/>
        <w:numPr>
          <w:ilvl w:val="1"/>
          <w:numId w:val="1"/>
        </w:numPr>
        <w:spacing w:lineRule="auto" w:line="276" w:before="120" w:after="120"/>
        <w:contextualSpacing/>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pPr>
        <w:pStyle w:val="ListParagraph"/>
        <w:numPr>
          <w:ilvl w:val="2"/>
          <w:numId w:val="1"/>
        </w:numPr>
        <w:spacing w:lineRule="auto" w:line="276" w:before="120" w:after="120"/>
        <w:contextualSpacing/>
        <w:jc w:val="both"/>
        <w:rPr>
          <w:rFonts w:cs="Arial"/>
          <w:i/>
          <w:i/>
          <w:iCs/>
          <w:color w:val="FF0000"/>
        </w:rPr>
      </w:pPr>
      <w:commentRangeStart w:id="8"/>
      <w:r>
        <w:rPr>
          <w:rFonts w:cs="Arial"/>
          <w:i/>
          <w:iCs/>
          <w:color w:val="FF0000"/>
        </w:rPr>
        <w:t>Além da documentação supracitada, o fornecedor com a melhor proposta deverá encaminhar planilha com indicação de custos unitários e formação de preços, conforme modelo anexo, com os valores adequados à proposta vencedora.</w:t>
      </w:r>
      <w:commentRangeEnd w:id="8"/>
      <w:r>
        <w:commentReference w:id="8"/>
      </w:r>
      <w:r>
        <w:rPr>
          <w:rFonts w:cs="Arial"/>
          <w:i/>
          <w:iCs/>
          <w:color w:val="FF0000"/>
        </w:rPr>
      </w:r>
    </w:p>
    <w:p>
      <w:pPr>
        <w:pStyle w:val="Normal"/>
        <w:numPr>
          <w:ilvl w:val="1"/>
          <w:numId w:val="1"/>
        </w:numPr>
        <w:spacing w:lineRule="auto" w:line="276" w:before="120" w:after="120"/>
        <w:jc w:val="both"/>
        <w:rPr>
          <w:rFonts w:cs="Arial"/>
          <w:color w:val="000000" w:themeColor="text1"/>
          <w:szCs w:val="20"/>
        </w:rPr>
      </w:pPr>
      <w:commentRangeStart w:id="9"/>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commentRangeEnd w:id="9"/>
      <w:r>
        <w:commentReference w:id="9"/>
      </w:r>
      <w:r>
        <w:rPr>
          <w:rFonts w:cs="Arial"/>
          <w:color w:val="000000" w:themeColor="text1"/>
          <w:szCs w:val="20"/>
        </w:rPr>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color w:val="FF0000"/>
          <w:szCs w:val="20"/>
        </w:rPr>
      </w:pPr>
      <w:r>
        <w:rPr>
          <w:rFonts w:cs="Arial"/>
          <w:szCs w:val="20"/>
        </w:rPr>
        <w:t>apresentar preços inexequíveis</w:t>
      </w:r>
      <w:r>
        <w:rPr>
          <w:rFonts w:cs="Arial"/>
          <w:color w:val="FF0000"/>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858" w:right="-15" w:hanging="432"/>
        <w:contextualSpacing/>
        <w:jc w:val="both"/>
        <w:rPr>
          <w:rFonts w:cs="Arial"/>
          <w:i/>
          <w:i/>
          <w:color w:val="FF0000"/>
          <w:szCs w:val="20"/>
          <w:lang w:eastAsia="en-US"/>
        </w:rPr>
      </w:pPr>
      <w:commentRangeStart w:id="10"/>
      <w:r>
        <w:rPr>
          <w:rFonts w:cs="Arial"/>
          <w:i/>
          <w:color w:val="FF0000"/>
          <w:szCs w:val="20"/>
          <w:lang w:eastAsia="en-US"/>
        </w:rPr>
        <w:t>Em contratação de obras ou serviços de engenharia, além das disposições acima, o critério de aceitabilidade de preços considerará o seguinte:</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commentRangeStart w:id="11"/>
      <w:r>
        <w:rPr>
          <w:rFonts w:cs="Arial"/>
          <w:i/>
          <w:color w:val="FF0000"/>
          <w:szCs w:val="20"/>
          <w:lang w:eastAsia="en-US"/>
        </w:rPr>
        <w:t>Ressalvado o objeto ou parte dele sujeito ao regime de empreitada por preço unitário, o critério de aceitabilidade de preços será o valor global estimado para a contratação.</w:t>
      </w:r>
    </w:p>
    <w:p>
      <w:pPr>
        <w:pStyle w:val="ListParagraph"/>
        <w:numPr>
          <w:ilvl w:val="3"/>
          <w:numId w:val="1"/>
        </w:numPr>
        <w:spacing w:lineRule="auto" w:line="276" w:before="120" w:after="120"/>
        <w:ind w:left="1728" w:right="-15" w:hanging="648"/>
        <w:contextualSpacing/>
        <w:jc w:val="both"/>
        <w:rPr>
          <w:rFonts w:cs="Arial"/>
          <w:i/>
          <w:i/>
          <w:color w:val="FF0000"/>
          <w:szCs w:val="20"/>
          <w:lang w:eastAsia="en-US"/>
        </w:rPr>
      </w:pPr>
      <w:r>
        <w:rPr>
          <w:rFonts w:cs="Arial"/>
          <w:i/>
          <w:color w:val="FF0000"/>
          <w:szCs w:val="20"/>
          <w:lang w:eastAsia="en-US"/>
        </w:rPr>
        <w:t>Aquele que estiver mais bem colocado na disputa, deverá apresentar à Administração, por meio eletrônico, planilha que contenha o preço global, os quantitativos e os preços unitários tidos como relevantes,</w:t>
      </w:r>
    </w:p>
    <w:p>
      <w:pPr>
        <w:pStyle w:val="ListParagraph"/>
        <w:numPr>
          <w:ilvl w:val="3"/>
          <w:numId w:val="1"/>
        </w:numPr>
        <w:spacing w:lineRule="auto" w:line="276" w:before="120" w:after="120"/>
        <w:ind w:left="1728" w:right="-15" w:hanging="648"/>
        <w:contextualSpacing/>
        <w:jc w:val="both"/>
        <w:rPr>
          <w:rFonts w:cs="Arial"/>
          <w:i/>
          <w:i/>
          <w:color w:val="FF0000"/>
          <w:szCs w:val="20"/>
          <w:lang w:eastAsia="en-US"/>
        </w:rPr>
      </w:pPr>
      <w:r>
        <w:rPr>
          <w:rFonts w:cs="Arial"/>
          <w:i/>
          <w:color w:val="FF0000"/>
          <w:szCs w:val="20"/>
          <w:lang w:eastAsia="en-US"/>
        </w:rPr>
        <w:t>Conforme modelo de planilha elaborada pela Administração, para efeito de avaliação de exequibilidade (</w:t>
      </w:r>
      <w:r>
        <w:fldChar w:fldCharType="begin"/>
      </w:r>
      <w:r>
        <w:rPr>
          <w:rStyle w:val="LinkdaInternet"/>
          <w:i/>
          <w:szCs w:val="20"/>
          <w:rFonts w:cs="Arial"/>
          <w:lang w:eastAsia="en-US"/>
        </w:rPr>
        <w:instrText xml:space="preserve"> HYPERLINK "http://www.planalto.gov.br/ccivil_03/_ato2019-2022/2021/lei/L14133.htm" \l "art59§3"</w:instrText>
      </w:r>
      <w:r>
        <w:rPr>
          <w:rStyle w:val="LinkdaInternet"/>
          <w:i/>
          <w:szCs w:val="20"/>
          <w:rFonts w:cs="Arial"/>
          <w:lang w:eastAsia="en-US"/>
        </w:rPr>
        <w:fldChar w:fldCharType="separate"/>
      </w:r>
      <w:r>
        <w:rPr>
          <w:rStyle w:val="LinkdaInternet"/>
          <w:rFonts w:cs="Arial"/>
          <w:i/>
          <w:szCs w:val="20"/>
          <w:lang w:eastAsia="en-US"/>
        </w:rPr>
        <w:t>art. 59, §3º, da Lei nº 14.133, de 2021</w:t>
      </w:r>
      <w:r>
        <w:rPr>
          <w:rStyle w:val="LinkdaInternet"/>
          <w:i/>
          <w:szCs w:val="20"/>
          <w:rFonts w:cs="Arial"/>
          <w:lang w:eastAsia="en-US"/>
        </w:rPr>
        <w:fldChar w:fldCharType="end"/>
      </w:r>
      <w:r>
        <w:rPr>
          <w:rFonts w:cs="Arial"/>
          <w:i/>
          <w:color w:val="FF0000"/>
          <w:szCs w:val="20"/>
          <w:lang w:eastAsia="en-US"/>
        </w:rPr>
        <w:t>);</w:t>
      </w:r>
      <w:commentRangeEnd w:id="11"/>
      <w:r>
        <w:commentReference w:id="11"/>
      </w:r>
      <w:r>
        <w:rPr>
          <w:rFonts w:cs="Arial"/>
          <w:i/>
          <w:color w:val="FF0000"/>
          <w:szCs w:val="20"/>
          <w:lang w:eastAsia="en-US"/>
        </w:rPr>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rFonts w:cs="Arial"/>
          <w:i/>
          <w:color w:val="FF0000"/>
          <w:szCs w:val="20"/>
          <w:lang w:eastAsia="en-US"/>
        </w:rPr>
        <w:t>Para o objeto ou parte dele sujeito ao regime de empreitada por preço unitário o critério de aceitabilidade de preços será:</w:t>
      </w:r>
    </w:p>
    <w:p>
      <w:pPr>
        <w:pStyle w:val="ListParagraph"/>
        <w:numPr>
          <w:ilvl w:val="3"/>
          <w:numId w:val="1"/>
        </w:numPr>
        <w:spacing w:lineRule="auto" w:line="276" w:before="120" w:after="120"/>
        <w:ind w:left="1728" w:right="-15" w:hanging="648"/>
        <w:contextualSpacing/>
        <w:jc w:val="both"/>
        <w:rPr>
          <w:rFonts w:cs="Arial"/>
          <w:i/>
          <w:i/>
          <w:color w:val="FF0000"/>
          <w:szCs w:val="20"/>
          <w:lang w:eastAsia="en-US"/>
        </w:rPr>
      </w:pPr>
      <w:r>
        <w:rPr>
          <w:rFonts w:cs="Arial"/>
          <w:i/>
          <w:color w:val="FF0000"/>
          <w:szCs w:val="20"/>
          <w:lang w:eastAsia="en-US"/>
        </w:rPr>
        <w:t>O valor global estimado para a contratação.</w:t>
      </w:r>
    </w:p>
    <w:p>
      <w:pPr>
        <w:pStyle w:val="ListParagraph"/>
        <w:numPr>
          <w:ilvl w:val="3"/>
          <w:numId w:val="1"/>
        </w:numPr>
        <w:jc w:val="both"/>
        <w:rPr>
          <w:rFonts w:cs="Arial"/>
          <w:i/>
          <w:i/>
          <w:color w:val="FF0000"/>
          <w:szCs w:val="20"/>
          <w:lang w:eastAsia="en-US"/>
        </w:rPr>
      </w:pPr>
      <w:r>
        <w:rPr>
          <w:rFonts w:cs="Arial"/>
          <w:i/>
          <w:color w:val="FF0000"/>
          <w:szCs w:val="20"/>
          <w:lang w:eastAsia="en-US"/>
        </w:rPr>
        <w:t>Preços unitários: conforme Planilha de Custos elaborada pelo Contratante, anexa a este documento.</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i/>
          <w:color w:val="FF0000"/>
        </w:rPr>
        <w:t>serão consideradas inexequíveis as propostas cujos valores forem inferiores a 75% (setenta e cinco por cento) do valor orçado pela Administração.</w:t>
      </w:r>
    </w:p>
    <w:p>
      <w:pPr>
        <w:pStyle w:val="ListParagraph"/>
        <w:numPr>
          <w:ilvl w:val="2"/>
          <w:numId w:val="1"/>
        </w:numPr>
        <w:spacing w:lineRule="auto" w:line="276" w:before="120" w:after="120"/>
        <w:ind w:left="1224" w:right="-15" w:hanging="504"/>
        <w:contextualSpacing/>
        <w:jc w:val="both"/>
        <w:rPr>
          <w:rFonts w:cs="Arial"/>
          <w:i/>
          <w:i/>
          <w:color w:val="FF0000"/>
          <w:szCs w:val="20"/>
          <w:lang w:eastAsia="en-US"/>
        </w:rPr>
      </w:pPr>
      <w:r>
        <w:rPr>
          <w:i/>
          <w:color w:val="FF000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commentRangeEnd w:id="10"/>
      <w:r>
        <w:commentReference w:id="10"/>
      </w:r>
      <w:r>
        <w:rPr>
          <w:i/>
          <w:color w:val="FF0000"/>
        </w:rPr>
      </w:r>
    </w:p>
    <w:p>
      <w:pPr>
        <w:pStyle w:val="ListParagraph"/>
        <w:numPr>
          <w:ilvl w:val="1"/>
          <w:numId w:val="1"/>
        </w:numPr>
        <w:spacing w:lineRule="auto" w:line="276" w:before="120" w:after="120"/>
        <w:ind w:left="858"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pPr>
        <w:pStyle w:val="Ttulo1"/>
        <w:rPr/>
      </w:pPr>
      <w:bookmarkStart w:id="7" w:name="_Toc118380904"/>
      <w:r>
        <w:rPr/>
        <w:t>HABILITAÇÃO</w:t>
      </w:r>
      <w:bookmarkEnd w:id="7"/>
    </w:p>
    <w:p>
      <w:pPr>
        <w:pStyle w:val="Normal"/>
        <w:numPr>
          <w:ilvl w:val="1"/>
          <w:numId w:val="1"/>
        </w:numPr>
        <w:spacing w:lineRule="auto" w:line="276" w:before="120" w:after="120"/>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pPr>
        <w:pStyle w:val="Normal"/>
        <w:numPr>
          <w:ilvl w:val="1"/>
          <w:numId w:val="1"/>
        </w:numPr>
        <w:spacing w:lineRule="auto" w:line="276" w:before="120" w:after="120"/>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commentRangeStart w:id="12"/>
      <w:r>
        <w:rPr>
          <w:rFonts w:cs="Arial"/>
          <w:szCs w:val="20"/>
          <w:lang w:eastAsia="ar-SA"/>
        </w:rPr>
        <w:t xml:space="preserve">a) </w:t>
      </w:r>
      <w:hyperlink r:id="rId9">
        <w:r>
          <w:rPr>
            <w:rStyle w:val="LinkdaInternet"/>
            <w:rFonts w:cs="Arial"/>
            <w:szCs w:val="20"/>
            <w:lang w:eastAsia="ar-SA"/>
          </w:rPr>
          <w:t>SICAF</w:t>
        </w:r>
      </w:hyperlink>
      <w:r>
        <w:rPr>
          <w:rFonts w:cs="Arial"/>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b) Cadastro Nacional de Empresas Inidôneas e Suspensas - CEIS, mantido pela Controladoria-Geral da União </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w:t>
      </w:r>
      <w:hyperlink r:id="rId10">
        <w:r>
          <w:rPr>
            <w:rStyle w:val="LinkdaInternet"/>
          </w:rPr>
          <w:t>https://portaldatransparencia.gov.br/sancoes/consulta?cadastro=1%2C2</w:t>
        </w:r>
      </w:hyperlink>
      <w:r>
        <w:rPr>
          <w:rFonts w:cs="Arial"/>
          <w:szCs w:val="20"/>
          <w:lang w:eastAsia="ar-SA"/>
        </w:rPr>
        <w:t>); e</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c) Cadastro Nacional de Empresas Punidas – CNEP, mantido pela Controladoria-Geral da União </w:t>
      </w:r>
    </w:p>
    <w:p>
      <w:pPr>
        <w:pStyle w:val="ListParagraph"/>
        <w:spacing w:lineRule="auto" w:line="276" w:before="120" w:after="120"/>
        <w:ind w:left="1134" w:hanging="0"/>
        <w:contextualSpacing/>
        <w:jc w:val="both"/>
        <w:rPr>
          <w:rFonts w:cs="Arial"/>
          <w:szCs w:val="20"/>
        </w:rPr>
      </w:pPr>
      <w:r>
        <w:rPr>
          <w:rFonts w:cs="Arial"/>
          <w:szCs w:val="20"/>
          <w:lang w:eastAsia="ar-SA"/>
        </w:rPr>
        <w:t>(</w:t>
      </w:r>
      <w:hyperlink r:id="rId11">
        <w:r>
          <w:rPr>
            <w:rStyle w:val="LinkdaInternet"/>
          </w:rPr>
          <w:t>https://portaldatransparencia.gov.br/sancoes/consulta?cadastro=1%2C2</w:t>
        </w:r>
      </w:hyperlink>
      <w:r>
        <w:rPr>
          <w:rFonts w:cs="Arial"/>
          <w:szCs w:val="20"/>
          <w:lang w:eastAsia="ar-SA"/>
        </w:rPr>
        <w:t>).</w:t>
      </w:r>
      <w:commentRangeEnd w:id="12"/>
      <w:r>
        <w:commentReference w:id="12"/>
      </w:r>
      <w:r>
        <w:rPr>
          <w:rFonts w:cs="Arial"/>
          <w:szCs w:val="20"/>
          <w:lang w:eastAsia="ar-SA"/>
        </w:rPr>
      </w:r>
    </w:p>
    <w:p>
      <w:pPr>
        <w:pStyle w:val="Normal"/>
        <w:numPr>
          <w:ilvl w:val="2"/>
          <w:numId w:val="1"/>
        </w:numPr>
        <w:spacing w:lineRule="auto" w:line="276" w:before="120" w:after="120"/>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r>
        <w:fldChar w:fldCharType="begin"/>
      </w:r>
      <w:r>
        <w:rPr>
          <w:rStyle w:val="LinkdaInternet"/>
          <w:szCs w:val="20"/>
          <w:rFonts w:cs="Arial"/>
        </w:rPr>
        <w:instrText xml:space="preserve"> HYPERLINK "https://www.planalto.gov.br/ccivil_03/leis/l8429.htm" \l "art12"</w:instrText>
      </w:r>
      <w:r>
        <w:rPr>
          <w:rStyle w:val="LinkdaInternet"/>
          <w:szCs w:val="20"/>
          <w:rFonts w:cs="Arial"/>
        </w:rPr>
        <w:fldChar w:fldCharType="separate"/>
      </w:r>
      <w:r>
        <w:rPr>
          <w:rStyle w:val="LinkdaInternet"/>
          <w:rFonts w:cs="Arial"/>
          <w:szCs w:val="20"/>
        </w:rPr>
        <w:t>artigo 12 da Lei n° 8.429, de 2 de junho de 1992</w:t>
      </w:r>
      <w:r>
        <w:rPr>
          <w:rStyle w:val="LinkdaInternet"/>
          <w:szCs w:val="20"/>
          <w:rFonts w:cs="Arial"/>
        </w:rPr>
        <w:fldChar w:fldCharType="end"/>
      </w:r>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pPr>
        <w:pStyle w:val="Normal"/>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pPr>
        <w:pStyle w:val="Normal"/>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Normal"/>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Normal"/>
        <w:numPr>
          <w:ilvl w:val="2"/>
          <w:numId w:val="1"/>
        </w:numPr>
        <w:spacing w:lineRule="auto" w:line="276" w:before="120" w:after="120"/>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pPr>
        <w:pStyle w:val="Normal"/>
        <w:numPr>
          <w:ilvl w:val="1"/>
          <w:numId w:val="1"/>
        </w:numPr>
        <w:spacing w:lineRule="auto" w:line="276" w:before="120" w:after="120"/>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r>
        <w:fldChar w:fldCharType="begin"/>
      </w:r>
      <w:r>
        <w:rPr>
          <w:rStyle w:val="LinkdaInternet"/>
          <w:szCs w:val="20"/>
          <w:rFonts w:cs="Arial"/>
        </w:rPr>
        <w:instrText xml:space="preserve"> HYPERLINK "https://www.in.gov.br/en/web/dou/-/instrucao-normativa-seges/me-n-67-de-8-de-julho-de-2021-330985107" \l "art19§3"</w:instrText>
      </w:r>
      <w:r>
        <w:rPr>
          <w:rStyle w:val="LinkdaInternet"/>
          <w:szCs w:val="20"/>
          <w:rFonts w:cs="Arial"/>
        </w:rPr>
        <w:fldChar w:fldCharType="separate"/>
      </w:r>
      <w:r>
        <w:rPr>
          <w:rStyle w:val="LinkdaInternet"/>
          <w:rFonts w:cs="Arial"/>
          <w:szCs w:val="20"/>
        </w:rPr>
        <w:t>art. 19, § 3º, da IN Seges/ME nº 67, de 2021</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contextualSpacing/>
        <w:jc w:val="both"/>
        <w:rPr>
          <w:rFonts w:cs="Arial"/>
          <w:b/>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szCs w:val="20"/>
        </w:rPr>
      </w:pPr>
      <w:r>
        <w:rPr>
          <w:rFonts w:cs="Arial"/>
          <w:iCs/>
        </w:rPr>
        <w:t>Constatado o atendimento às exigências de habilitação, o fornecedor será habilitado.</w:t>
      </w:r>
    </w:p>
    <w:p>
      <w:pPr>
        <w:pStyle w:val="Ttulo1"/>
        <w:rPr/>
      </w:pPr>
      <w:bookmarkStart w:id="8" w:name="_Toc118380905"/>
      <w:commentRangeStart w:id="13"/>
      <w:r>
        <w:rPr/>
        <w:t>CONTRATAÇÃO</w:t>
      </w:r>
      <w:bookmarkEnd w:id="8"/>
    </w:p>
    <w:p>
      <w:pPr>
        <w:pStyle w:val="Normal"/>
        <w:numPr>
          <w:ilvl w:val="1"/>
          <w:numId w:val="1"/>
        </w:numPr>
        <w:spacing w:lineRule="auto" w:line="276" w:before="120" w:after="120"/>
        <w:ind w:left="425" w:hanging="0"/>
        <w:jc w:val="both"/>
        <w:rPr>
          <w:rFonts w:eastAsia="Arial" w:cs="Arial"/>
          <w:color w:val="000000"/>
          <w:szCs w:val="20"/>
        </w:rPr>
      </w:pPr>
      <w:commentRangeStart w:id="14"/>
      <w:r>
        <w:rPr>
          <w:rFonts w:eastAsia="Arial" w:cs="Arial"/>
          <w:color w:val="000000"/>
          <w:szCs w:val="20"/>
        </w:rPr>
        <w:t>Após a homologação e adjudicação, caso se conclua pela contratação, será firmado Termo de Contrato ou emitido instrumento equivalente.</w:t>
      </w:r>
      <w:commentRangeEnd w:id="14"/>
      <w:r>
        <w:commentReference w:id="14"/>
      </w:r>
      <w:r>
        <w:rPr>
          <w:rFonts w:eastAsia="Arial" w:cs="Arial"/>
          <w:color w:val="000000"/>
          <w:szCs w:val="20"/>
        </w:rPr>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 xml:space="preserve">assinar o Termo de Contrato ou aceitar instrumento equivalente, 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commentRangeEnd w:id="13"/>
      <w:r>
        <w:commentReference w:id="13"/>
      </w:r>
      <w:r>
        <w:rPr>
          <w:rFonts w:eastAsia="Arial" w:cs="Arial"/>
          <w:color w:val="000000"/>
          <w:szCs w:val="20"/>
        </w:rPr>
      </w:r>
    </w:p>
    <w:p>
      <w:pPr>
        <w:pStyle w:val="Normal"/>
        <w:numPr>
          <w:ilvl w:val="1"/>
          <w:numId w:val="1"/>
        </w:numPr>
        <w:spacing w:lineRule="auto" w:line="276" w:before="120" w:after="120"/>
        <w:ind w:left="425" w:hanging="0"/>
        <w:jc w:val="both"/>
        <w:rPr>
          <w:rFonts w:eastAsia="Arial" w:cs="Arial"/>
          <w:i/>
          <w:i/>
          <w:color w:val="FF0000"/>
          <w:szCs w:val="20"/>
        </w:rPr>
      </w:pPr>
      <w:commentRangeStart w:id="15"/>
      <w:r>
        <w:rPr>
          <w:rFonts w:eastAsia="Arial" w:cs="Arial"/>
          <w:i/>
          <w:color w:val="FF0000"/>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referida Nota está substituindo o contrato, aplicando-se à relação de negócios ali estabelecida as disposições da </w:t>
      </w:r>
      <w:hyperlink r:id="rId12">
        <w:r>
          <w:rPr>
            <w:rStyle w:val="LinkdaInternet"/>
            <w:rFonts w:eastAsia="Arial" w:cs="Arial"/>
            <w:i/>
            <w:szCs w:val="20"/>
          </w:rPr>
          <w:t>Lei nº 14.133, de 2021</w:t>
        </w:r>
      </w:hyperlink>
      <w:r>
        <w:rPr>
          <w:rFonts w:eastAsia="Arial" w:cs="Arial"/>
          <w:i/>
          <w:color w:val="FF0000"/>
          <w:szCs w:val="20"/>
        </w:rPr>
        <w:t>;</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a contratada reconhece que as hipóteses de rescisão são aquelas previstas nos </w:t>
      </w:r>
      <w:r>
        <w:fldChar w:fldCharType="begin"/>
      </w:r>
      <w:r>
        <w:rPr>
          <w:rStyle w:val="LinkdaInternet"/>
          <w:i/>
          <w:szCs w:val="20"/>
          <w:rFonts w:eastAsia="Arial" w:cs="Arial"/>
        </w:rPr>
        <w:instrText xml:space="preserve"> HYPERLINK "http://www.planalto.gov.br/ccivil_03/_ato2019-2022/2021/lei/L14133.htm" \l "art137"</w:instrText>
      </w:r>
      <w:r>
        <w:rPr>
          <w:rStyle w:val="LinkdaInternet"/>
          <w:i/>
          <w:szCs w:val="20"/>
          <w:rFonts w:eastAsia="Arial" w:cs="Arial"/>
        </w:rPr>
        <w:fldChar w:fldCharType="separate"/>
      </w:r>
      <w:r>
        <w:rPr>
          <w:rStyle w:val="LinkdaInternet"/>
          <w:rFonts w:eastAsia="Arial" w:cs="Arial"/>
          <w:i/>
          <w:szCs w:val="20"/>
        </w:rPr>
        <w:t>artigos 137 e 138 da Lei nº 14.133, de 2021</w:t>
      </w:r>
      <w:r>
        <w:rPr>
          <w:rStyle w:val="LinkdaInternet"/>
          <w:i/>
          <w:szCs w:val="20"/>
          <w:rFonts w:eastAsia="Arial" w:cs="Arial"/>
        </w:rPr>
        <w:fldChar w:fldCharType="end"/>
      </w:r>
      <w:r>
        <w:rPr>
          <w:rFonts w:eastAsia="Arial" w:cs="Arial"/>
          <w:i/>
          <w:color w:val="FF0000"/>
          <w:szCs w:val="20"/>
        </w:rPr>
        <w:t xml:space="preserve"> e reconhece os direitos da Administração previstos nos </w:t>
      </w:r>
      <w:r>
        <w:fldChar w:fldCharType="begin"/>
      </w:r>
      <w:r>
        <w:rPr>
          <w:rStyle w:val="LinkdaInternet"/>
          <w:i/>
          <w:szCs w:val="20"/>
          <w:rFonts w:eastAsia="Arial" w:cs="Arial"/>
        </w:rPr>
        <w:instrText xml:space="preserve"> HYPERLINK "http://www.planalto.gov.br/ccivil_03/_ato2019-2022/2021/lei/L14133.htm" \l "art137"</w:instrText>
      </w:r>
      <w:r>
        <w:rPr>
          <w:rStyle w:val="LinkdaInternet"/>
          <w:i/>
          <w:szCs w:val="20"/>
          <w:rFonts w:eastAsia="Arial" w:cs="Arial"/>
        </w:rPr>
        <w:fldChar w:fldCharType="separate"/>
      </w:r>
      <w:r>
        <w:rPr>
          <w:rStyle w:val="LinkdaInternet"/>
          <w:rFonts w:eastAsia="Arial" w:cs="Arial"/>
          <w:i/>
          <w:szCs w:val="20"/>
        </w:rPr>
        <w:t>artigos 137 a 139 da mesma Lei</w:t>
      </w:r>
      <w:r>
        <w:rPr>
          <w:rStyle w:val="LinkdaInternet"/>
          <w:i/>
          <w:szCs w:val="20"/>
          <w:rFonts w:eastAsia="Arial" w:cs="Arial"/>
        </w:rPr>
        <w:fldChar w:fldCharType="end"/>
      </w:r>
      <w:r>
        <w:rPr>
          <w:rFonts w:eastAsia="Arial" w:cs="Arial"/>
          <w:i/>
          <w:color w:val="FF0000"/>
          <w:szCs w:val="20"/>
        </w:rPr>
        <w:t>.</w:t>
      </w:r>
      <w:commentRangeEnd w:id="15"/>
      <w:r>
        <w:commentReference w:id="15"/>
      </w:r>
      <w:r>
        <w:rPr>
          <w:rFonts w:eastAsia="Arial" w:cs="Arial"/>
          <w:i/>
          <w:color w:val="FF0000"/>
          <w:szCs w:val="20"/>
        </w:rPr>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left="425" w:hanging="0"/>
        <w:jc w:val="both"/>
        <w:rPr>
          <w:rFonts w:eastAsia="Arial" w:cs="Arial"/>
          <w:color w:val="000000"/>
          <w:szCs w:val="20"/>
        </w:rPr>
      </w:pPr>
      <w:commentRangeStart w:id="16"/>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16"/>
      <w:r>
        <w:commentReference w:id="16"/>
      </w:r>
      <w:r>
        <w:rPr>
          <w:rFonts w:cs="Arial"/>
          <w:color w:val="000000"/>
          <w:szCs w:val="20"/>
        </w:rPr>
      </w:r>
    </w:p>
    <w:p>
      <w:pPr>
        <w:pStyle w:val="Ttulo1"/>
        <w:rPr/>
      </w:pPr>
      <w:bookmarkStart w:id="9" w:name="_Toc118380906"/>
      <w:r>
        <w:rPr/>
        <w:t>INFRAÇÕES E SANÇÕES ADMINISTRATIVAS</w:t>
      </w:r>
      <w:bookmarkEnd w:id="9"/>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praticar quaisquer das hipóteses previstas no </w:t>
      </w:r>
      <w:r>
        <w:fldChar w:fldCharType="begin"/>
      </w:r>
      <w:r>
        <w:rPr>
          <w:rStyle w:val="LinkdaInternet"/>
          <w:rFonts w:cs="Arial"/>
        </w:rPr>
        <w:instrText xml:space="preserve"> HYPERLINK "http://www.planalto.gov.br/ccivil_03/_ato2019-2022/2021/lei/L14133.htm" \l "art155"</w:instrText>
      </w:r>
      <w:r>
        <w:rPr>
          <w:rStyle w:val="LinkdaInternet"/>
          <w:rFonts w:cs="Arial"/>
        </w:rPr>
        <w:fldChar w:fldCharType="separate"/>
      </w:r>
      <w:r>
        <w:rPr>
          <w:rStyle w:val="LinkdaInternet"/>
          <w:rFonts w:cs="Arial"/>
        </w:rPr>
        <w:t>art. 155 da Lei nº 14.133, de 2021</w:t>
      </w:r>
      <w:r>
        <w:rPr>
          <w:rStyle w:val="LinkdaInternet"/>
          <w:rFonts w:cs="Arial"/>
        </w:rPr>
        <w:fldChar w:fldCharType="end"/>
      </w:r>
      <w:r>
        <w:rPr>
          <w:rFonts w:cs="Arial"/>
        </w:rPr>
        <w:t xml:space="preserve">, quais sejam: </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Style w:val="LinkdaInternet"/>
          <w:rFonts w:cs="Arial"/>
          <w:szCs w:val="20"/>
        </w:rPr>
      </w:pPr>
      <w:r>
        <w:rPr>
          <w:rFonts w:cs="Arial"/>
          <w:color w:val="000000"/>
          <w:szCs w:val="20"/>
        </w:rPr>
        <w:t>praticar ato lesivo previsto no </w:t>
      </w:r>
      <w:r>
        <w:fldChar w:fldCharType="begin"/>
      </w:r>
      <w:r>
        <w:rPr>
          <w:rStyle w:val="LinkdaInternet"/>
        </w:rPr>
        <w:instrText xml:space="preserve"> HYPERLINK "http://www.planalto.gov.br/ccivil_03/_ato2019-2022/2021/lei/L14133.htm"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rFonts w:cs="Arial"/>
          <w:b/>
          <w:b/>
        </w:rPr>
      </w:pPr>
      <w:r>
        <w:fldChar w:fldCharType="begin"/>
      </w:r>
      <w:r>
        <w:rPr>
          <w:rFonts w:cs="Arial"/>
        </w:rPr>
        <w:instrText xml:space="preserve"> HYPERLINK "http://www.planalto.gov.br/ccivil_03/_ato2019-2022/2021/lei/L14133.htm" \l "art5"</w:instrText>
      </w:r>
      <w:r>
        <w:rPr>
          <w:rFonts w:cs="Arial"/>
        </w:rPr>
        <w:fldChar w:fldCharType="separate"/>
      </w:r>
      <w:r>
        <w:rPr>
          <w:rFonts w:cs="Arial"/>
        </w:rPr>
        <w:t>O fornecedor que cometer qualquer das infrações discriminadas nos subitens anteriores ficará sujeito, sem prejuízo da responsabilidade civil e criminal, às seguintes sanções:</w:t>
      </w:r>
      <w:r>
        <w:rPr>
          <w:rFonts w:cs="Arial"/>
        </w:rPr>
        <w:fldChar w:fldCharType="end"/>
      </w:r>
    </w:p>
    <w:p>
      <w:pPr>
        <w:pStyle w:val="Normal"/>
        <w:numPr>
          <w:ilvl w:val="2"/>
          <w:numId w:val="5"/>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5"/>
        </w:numPr>
        <w:spacing w:lineRule="auto" w:line="276" w:before="120" w:after="120"/>
        <w:jc w:val="both"/>
        <w:rPr>
          <w:rFonts w:cs="Arial"/>
        </w:rPr>
      </w:pPr>
      <w:commentRangeStart w:id="17"/>
      <w:r>
        <w:rPr>
          <w:rFonts w:cs="Arial"/>
        </w:rPr>
        <w:t>Multa de 10 % (dez por cento) sobre o valor estimado do(s) item(s) prejudicado(s) pela conduta do fornecedor, por qualquer das infrações dos subitens 8.1.1 a 8.1.12;</w:t>
      </w:r>
      <w:commentRangeEnd w:id="17"/>
      <w:r>
        <w:commentReference w:id="17"/>
      </w:r>
      <w:r>
        <w:rPr>
          <w:rFonts w:cs="Arial"/>
        </w:rPr>
      </w:r>
    </w:p>
    <w:p>
      <w:pPr>
        <w:pStyle w:val="Normal"/>
        <w:numPr>
          <w:ilvl w:val="2"/>
          <w:numId w:val="5"/>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ind w:left="425" w:hanging="0"/>
        <w:jc w:val="both"/>
        <w:rPr>
          <w:rFonts w:cs="Arial"/>
          <w:bCs/>
        </w:rPr>
      </w:pPr>
      <w:r>
        <w:rPr>
          <w:rFonts w:cs="Arial"/>
          <w:bCs/>
        </w:rPr>
        <w:t>A aplicação das sanções previstas neste Contrato não exclui, em hipótese alguma, a obrigação de reparação integral do dano causado à Contratante (</w:t>
      </w:r>
      <w:r>
        <w:fldChar w:fldCharType="begin"/>
      </w:r>
      <w:r>
        <w:rPr>
          <w:rStyle w:val="LinkdaInternet"/>
          <w:bCs/>
          <w:rFonts w:cs="Arial"/>
        </w:rPr>
        <w:instrText xml:space="preserve"> HYPERLINK "http://www.planalto.gov.br/ccivil_03/_ato2019-2022/2021/lei/L14133.htm" \l "art156§9"</w:instrText>
      </w:r>
      <w:r>
        <w:rPr>
          <w:rStyle w:val="LinkdaInternet"/>
          <w:bCs/>
          <w:rFonts w:cs="Arial"/>
        </w:rPr>
        <w:fldChar w:fldCharType="separate"/>
      </w:r>
      <w:r>
        <w:rPr>
          <w:rStyle w:val="LinkdaInternet"/>
          <w:rFonts w:cs="Arial"/>
          <w:bCs/>
        </w:rPr>
        <w:t>art. 156, §9º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 xml:space="preserve">Todas as sanções previstas neste Aviso poderão ser aplicadas cumulativamente com a multa </w:t>
      </w:r>
      <w:r>
        <w:fldChar w:fldCharType="begin"/>
      </w:r>
      <w:r>
        <w:rPr>
          <w:rStyle w:val="LinkdaInternet"/>
          <w:bCs/>
          <w:rFonts w:cs="Arial"/>
        </w:rPr>
        <w:instrText xml:space="preserve"> HYPERLINK "http://www.planalto.gov.br/ccivil_03/_ato2019-2022/2021/lei/L14133.htm" \l "art156§7"</w:instrText>
      </w:r>
      <w:r>
        <w:rPr>
          <w:rStyle w:val="LinkdaInternet"/>
          <w:bCs/>
          <w:rFonts w:cs="Arial"/>
        </w:rPr>
        <w:fldChar w:fldCharType="separate"/>
      </w:r>
      <w:r>
        <w:rPr>
          <w:rStyle w:val="LinkdaInternet"/>
          <w:rFonts w:cs="Arial"/>
          <w:bCs/>
        </w:rPr>
        <w:t>(art. 156, §7º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Antes da aplicação da multa, será facultada a defesa do interessado no prazo de 15 (quinze) dias úteis, contado da data de sua intimação (</w:t>
      </w:r>
      <w:r>
        <w:fldChar w:fldCharType="begin"/>
      </w:r>
      <w:r>
        <w:rPr>
          <w:rStyle w:val="LinkdaInternet"/>
          <w:bCs/>
          <w:rFonts w:cs="Arial"/>
        </w:rPr>
        <w:instrText xml:space="preserve"> HYPERLINK "http://www.planalto.gov.br/ccivil_03/_ato2019-2022/2021/lei/L14133.htm" \l "art157"</w:instrText>
      </w:r>
      <w:r>
        <w:rPr>
          <w:rStyle w:val="LinkdaInternet"/>
          <w:bCs/>
          <w:rFonts w:cs="Arial"/>
        </w:rPr>
        <w:fldChar w:fldCharType="separate"/>
      </w:r>
      <w:r>
        <w:rPr>
          <w:rStyle w:val="LinkdaInternet"/>
          <w:rFonts w:cs="Arial"/>
          <w:bCs/>
        </w:rPr>
        <w:t>art. 157</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xml:space="preserve"> HYPERLINK "http://www.planalto.gov.br/ccivil_03/_ato2019-2022/2021/lei/L14133.htm" \l "art156§8"</w:instrText>
      </w:r>
      <w:r>
        <w:rPr>
          <w:rStyle w:val="LinkdaInternet"/>
          <w:bCs/>
          <w:rFonts w:cs="Arial"/>
        </w:rPr>
        <w:fldChar w:fldCharType="separate"/>
      </w:r>
      <w:r>
        <w:rPr>
          <w:rStyle w:val="LinkdaInternet"/>
          <w:rFonts w:cs="Arial"/>
          <w:bCs/>
        </w:rPr>
        <w:t>art. 156, §8º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r>
        <w:rPr>
          <w:rFonts w:cs="Arial"/>
          <w:bCs/>
        </w:rPr>
        <w:t>dias, a contar da data do recebimento da comunicação enviada pela autoridade competente.</w:t>
      </w:r>
      <w:bookmarkStart w:id="10" w:name="_Hlk78351618"/>
      <w:bookmarkEnd w:id="10"/>
    </w:p>
    <w:p>
      <w:pPr>
        <w:pStyle w:val="Normal"/>
        <w:numPr>
          <w:ilvl w:val="1"/>
          <w:numId w:val="1"/>
        </w:numPr>
        <w:spacing w:lineRule="auto" w:line="276" w:before="120" w:after="120"/>
        <w:ind w:left="425" w:hanging="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LinkdaInternet"/>
          <w:bCs/>
          <w:rFonts w:cs="Arial"/>
        </w:rPr>
        <w:instrText xml:space="preserve"> HYPERLINK "http://www.planalto.gov.br/ccivil_03/_ato2019-2022/2021/lei/L14133.htm" \l "art158"</w:instrText>
      </w:r>
      <w:r>
        <w:rPr>
          <w:rStyle w:val="LinkdaInternet"/>
          <w:bCs/>
          <w:rFonts w:cs="Arial"/>
        </w:rPr>
        <w:fldChar w:fldCharType="separate"/>
      </w:r>
      <w:r>
        <w:rPr>
          <w:rStyle w:val="LinkdaInternet"/>
          <w:rFonts w:cs="Arial"/>
          <w:bCs/>
        </w:rPr>
        <w:t>art. 158 da Lei nº 14.133, de 2021</w:t>
      </w:r>
      <w:r>
        <w:rPr>
          <w:rStyle w:val="LinkdaInternet"/>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rFonts w:cs="Arial"/>
          <w:bCs/>
        </w:rPr>
      </w:pPr>
      <w:r>
        <w:rPr>
          <w:rFonts w:cs="Arial"/>
          <w:bCs/>
        </w:rPr>
        <w:t>Na aplicação das sanções serão considerados (</w:t>
      </w:r>
      <w:r>
        <w:fldChar w:fldCharType="begin"/>
      </w:r>
      <w:r>
        <w:rPr>
          <w:rStyle w:val="LinkdaInternet"/>
          <w:bCs/>
          <w:rFonts w:cs="Arial"/>
        </w:rPr>
        <w:instrText xml:space="preserve"> HYPERLINK "http://www.planalto.gov.br/ccivil_03/_ato2019-2022/2021/lei/L14133.htm" \l "art156§1"</w:instrText>
      </w:r>
      <w:r>
        <w:rPr>
          <w:rStyle w:val="LinkdaInternet"/>
          <w:bCs/>
          <w:rFonts w:cs="Arial"/>
        </w:rPr>
        <w:fldChar w:fldCharType="separate"/>
      </w:r>
      <w:r>
        <w:rPr>
          <w:rStyle w:val="LinkdaInternet"/>
          <w:rFonts w:cs="Arial"/>
          <w:bCs/>
        </w:rPr>
        <w:t>art. 156, §1º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a natureza e a gravidade da infração cometida;</w:t>
      </w:r>
    </w:p>
    <w:p>
      <w:pPr>
        <w:pStyle w:val="Normal"/>
        <w:numPr>
          <w:ilvl w:val="1"/>
          <w:numId w:val="1"/>
        </w:numPr>
        <w:spacing w:lineRule="auto" w:line="276" w:before="120" w:after="120"/>
        <w:ind w:left="425" w:hanging="0"/>
        <w:jc w:val="both"/>
        <w:rPr>
          <w:rFonts w:cs="Arial"/>
          <w:bCs/>
        </w:rPr>
      </w:pPr>
      <w:r>
        <w:rPr>
          <w:rFonts w:cs="Arial"/>
          <w:bCs/>
        </w:rPr>
        <w:t>as peculiaridades do caso concreto;</w:t>
      </w:r>
    </w:p>
    <w:p>
      <w:pPr>
        <w:pStyle w:val="Normal"/>
        <w:numPr>
          <w:ilvl w:val="1"/>
          <w:numId w:val="1"/>
        </w:numPr>
        <w:spacing w:lineRule="auto" w:line="276" w:before="120" w:after="120"/>
        <w:ind w:left="425" w:hanging="0"/>
        <w:jc w:val="both"/>
        <w:rPr>
          <w:rFonts w:cs="Arial"/>
          <w:bCs/>
        </w:rPr>
      </w:pPr>
      <w:r>
        <w:rPr>
          <w:rFonts w:cs="Arial"/>
          <w:bCs/>
        </w:rPr>
        <w:t>as circunstâncias agravantes ou atenuantes;</w:t>
      </w:r>
    </w:p>
    <w:p>
      <w:pPr>
        <w:pStyle w:val="Normal"/>
        <w:numPr>
          <w:ilvl w:val="1"/>
          <w:numId w:val="1"/>
        </w:numPr>
        <w:spacing w:lineRule="auto" w:line="276" w:before="120" w:after="120"/>
        <w:ind w:left="425" w:hanging="0"/>
        <w:jc w:val="both"/>
        <w:rPr>
          <w:rFonts w:cs="Arial"/>
          <w:bCs/>
        </w:rPr>
      </w:pPr>
      <w:r>
        <w:rPr>
          <w:rFonts w:cs="Arial"/>
          <w:bCs/>
        </w:rPr>
        <w:t>os danos que dela provierem para o Contratante;</w:t>
      </w:r>
    </w:p>
    <w:p>
      <w:pPr>
        <w:pStyle w:val="Normal"/>
        <w:numPr>
          <w:ilvl w:val="1"/>
          <w:numId w:val="1"/>
        </w:numPr>
        <w:spacing w:lineRule="auto" w:line="276" w:before="120" w:after="120"/>
        <w:ind w:left="425" w:hanging="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bCs/>
        </w:rPr>
      </w:pPr>
      <w:r>
        <w:rPr>
          <w:rFonts w:cs="Arial"/>
          <w:bCs/>
        </w:rPr>
        <w:t xml:space="preserve">Os atos previstos como infrações administrativas na </w:t>
      </w:r>
      <w:hyperlink r:id="rId13">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14">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LinkdaInternet"/>
          <w:bCs/>
          <w:rFonts w:cs="Arial"/>
        </w:rPr>
        <w:instrText xml:space="preserve"> HYPERLINK "http://www.planalto.gov.br/ccivil_03/_ato2019-2022/2021/lei/L14133.htm" \l "art159"</w:instrText>
      </w:r>
      <w:r>
        <w:rPr>
          <w:rStyle w:val="LinkdaInternet"/>
          <w:bCs/>
          <w:rFonts w:cs="Arial"/>
        </w:rPr>
        <w:fldChar w:fldCharType="separate"/>
      </w:r>
      <w:r>
        <w:rPr>
          <w:rStyle w:val="LinkdaInternet"/>
          <w:rFonts w:cs="Arial"/>
          <w:bCs/>
        </w:rPr>
        <w:t>art. 159</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xml:space="preserve"> HYPERLINK "http://www.planalto.gov.br/ccivil_03/_ato2019-2022/2021/lei/L14133.htm" \l "art160"</w:instrText>
      </w:r>
      <w:r>
        <w:rPr>
          <w:rStyle w:val="LinkdaInternet"/>
          <w:bCs/>
          <w:rFonts w:cs="Arial"/>
        </w:rPr>
        <w:fldChar w:fldCharType="separate"/>
      </w:r>
      <w:r>
        <w:rPr>
          <w:rStyle w:val="LinkdaInternet"/>
          <w:rFonts w:cs="Arial"/>
          <w:bCs/>
        </w:rPr>
        <w:t>art. 160</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xml:space="preserve"> HYPERLINK "http://www.planalto.gov.br/ccivil_03/_ato2019-2022/2021/lei/L14133.htm" \l "art161"</w:instrText>
      </w:r>
      <w:r>
        <w:rPr>
          <w:rStyle w:val="LinkdaInternet"/>
          <w:bCs/>
          <w:rFonts w:cs="Arial"/>
        </w:rPr>
        <w:fldChar w:fldCharType="separate"/>
      </w:r>
      <w:r>
        <w:rPr>
          <w:rStyle w:val="LinkdaInternet"/>
          <w:rFonts w:cs="Arial"/>
          <w:bCs/>
        </w:rPr>
        <w:t>Art. 161</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i/>
          <w:i/>
        </w:rPr>
      </w:pPr>
      <w:r>
        <w:rPr>
          <w:rFonts w:cs="Arial"/>
          <w:bCs/>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xml:space="preserve"> HYPERLINK "http://www.planalto.gov.br/ccivil_03/_ato2019-2022/2021/lei/L14133.htm" \l "art163"</w:instrText>
      </w:r>
      <w:r>
        <w:rPr>
          <w:rStyle w:val="LinkdaInternet"/>
          <w:bCs/>
          <w:rFonts w:cs="Arial"/>
        </w:rPr>
        <w:fldChar w:fldCharType="separate"/>
      </w:r>
      <w:r>
        <w:rPr>
          <w:rStyle w:val="LinkdaInternet"/>
          <w:rFonts w:cs="Arial"/>
          <w:bCs/>
        </w:rPr>
        <w:t>art. 163 da Lei nº 14.133, de 2021.</w:t>
      </w:r>
      <w:r>
        <w:rPr>
          <w:rStyle w:val="LinkdaInternet"/>
          <w:bCs/>
          <w:rFonts w:cs="Arial"/>
        </w:rPr>
        <w:fldChar w:fldCharType="end"/>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Ttulo1"/>
        <w:rPr/>
      </w:pPr>
      <w:bookmarkStart w:id="11" w:name="_Toc118380907"/>
      <w:r>
        <w:rPr/>
        <w:t>DAS DISPOSIÇÕES GERAIS</w:t>
      </w:r>
      <w:bookmarkEnd w:id="11"/>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numPr>
          <w:ilvl w:val="3"/>
          <w:numId w:val="1"/>
        </w:numPr>
        <w:spacing w:lineRule="auto" w:line="276" w:before="120" w:after="120"/>
        <w:jc w:val="both"/>
        <w:rPr>
          <w:rFonts w:cs="Arial"/>
          <w:i/>
          <w:i/>
          <w:iCs/>
          <w:szCs w:val="20"/>
        </w:rPr>
      </w:pPr>
      <w:r>
        <w:rPr>
          <w:rFonts w:cs="Arial"/>
          <w:i/>
          <w:iCs/>
          <w:szCs w:val="20"/>
        </w:rPr>
        <w:t>ANEXO II.1 – Estudo Técnico Preliminar</w:t>
      </w:r>
    </w:p>
    <w:p>
      <w:pPr>
        <w:pStyle w:val="Normal"/>
        <w:numPr>
          <w:ilvl w:val="2"/>
          <w:numId w:val="1"/>
        </w:numPr>
        <w:spacing w:lineRule="auto" w:line="276" w:before="120" w:after="120"/>
        <w:jc w:val="both"/>
        <w:rPr>
          <w:rFonts w:cs="Arial"/>
          <w:i/>
          <w:i/>
          <w:iCs/>
          <w:color w:val="FF0000"/>
          <w:szCs w:val="20"/>
        </w:rPr>
      </w:pPr>
      <w:r>
        <w:rPr>
          <w:rFonts w:cs="Arial"/>
          <w:i/>
          <w:iCs/>
          <w:color w:val="FF0000"/>
          <w:szCs w:val="20"/>
        </w:rPr>
        <w:t>ANEXO III – Minuta de Termo de Contrato;</w:t>
      </w:r>
    </w:p>
    <w:p>
      <w:pPr>
        <w:pStyle w:val="Normal"/>
        <w:numPr>
          <w:ilvl w:val="2"/>
          <w:numId w:val="1"/>
        </w:numPr>
        <w:spacing w:lineRule="auto" w:line="276" w:before="120" w:after="120"/>
        <w:jc w:val="both"/>
        <w:rPr>
          <w:rFonts w:cs="Arial"/>
          <w:i/>
          <w:i/>
          <w:iCs/>
          <w:color w:val="FF0000"/>
          <w:szCs w:val="20"/>
        </w:rPr>
      </w:pPr>
      <w:r>
        <w:rPr>
          <w:rFonts w:cs="Arial"/>
          <w:i/>
          <w:iCs/>
          <w:color w:val="FF0000"/>
          <w:szCs w:val="20"/>
        </w:rPr>
        <w:t>ANEXO IV - Planilha de Custos e Formação de Preços;</w:t>
      </w:r>
    </w:p>
    <w:p>
      <w:pPr>
        <w:pStyle w:val="Normal"/>
        <w:numPr>
          <w:ilvl w:val="2"/>
          <w:numId w:val="1"/>
        </w:numPr>
        <w:spacing w:lineRule="auto" w:line="276" w:before="120" w:after="120"/>
        <w:ind w:left="360" w:right="-15" w:hanging="504"/>
        <w:jc w:val="both"/>
        <w:rPr>
          <w:rFonts w:cs="Arial"/>
          <w:color w:val="000000"/>
          <w:szCs w:val="20"/>
        </w:rPr>
      </w:pPr>
      <w:r>
        <w:rPr>
          <w:rFonts w:cs="Arial"/>
          <w:i/>
          <w:iCs/>
          <w:color w:val="FF0000"/>
          <w:szCs w:val="20"/>
        </w:rPr>
        <w:t>ANEXO V – (...)</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t xml:space="preserve">Rio de Janeiro , RJ , </w:t>
      </w:r>
      <w:r>
        <w:rPr>
          <w:rFonts w:cs="Arial"/>
          <w:color w:val="FF0000"/>
          <w:szCs w:val="20"/>
        </w:rPr>
        <w:t xml:space="preserve">............ </w:t>
      </w:r>
      <w:r>
        <w:rPr>
          <w:rFonts w:cs="Arial"/>
          <w:color w:val="000000"/>
          <w:szCs w:val="20"/>
        </w:rPr>
        <w:t xml:space="preserve">de </w:t>
      </w:r>
      <w:r>
        <w:rPr>
          <w:rFonts w:cs="Arial"/>
          <w:color w:val="FF0000"/>
          <w:szCs w:val="20"/>
        </w:rPr>
        <w:t xml:space="preserve">........... </w:t>
      </w:r>
      <w:r>
        <w:rPr>
          <w:rFonts w:cs="Arial"/>
          <w:color w:val="000000"/>
          <w:szCs w:val="20"/>
        </w:rPr>
        <w:t>de 2023.</w:t>
      </w:r>
    </w:p>
    <w:p>
      <w:pPr>
        <w:pStyle w:val="Normal"/>
        <w:spacing w:lineRule="auto" w:line="276"/>
        <w:jc w:val="both"/>
        <w:rPr>
          <w:rFonts w:cs="Arial"/>
          <w:szCs w:val="20"/>
        </w:rPr>
      </w:pPr>
      <w:r>
        <w:rPr>
          <w:rFonts w:cs="Arial"/>
          <w:b/>
          <w:bCs/>
          <w:iCs/>
          <w:color w:val="000000"/>
          <w:szCs w:val="20"/>
        </w:rPr>
        <w:t>Assinatura da autoridade competente</w:t>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spacing w:lineRule="auto" w:line="276" w:before="0" w:after="0"/>
        <w:contextualSpacing/>
        <w:jc w:val="both"/>
        <w:rPr>
          <w:rFonts w:cs="Arial"/>
          <w:b/>
          <w:b/>
          <w:szCs w:val="20"/>
          <w:lang w:eastAsia="ar-SA"/>
        </w:rPr>
      </w:pPr>
      <w:r>
        <w:rPr>
          <w:rFonts w:cs="Arial"/>
          <w:b/>
          <w:szCs w:val="20"/>
          <w:lang w:eastAsia="ar-SA"/>
        </w:rPr>
      </w:r>
    </w:p>
    <w:p>
      <w:pPr>
        <w:pStyle w:val="Normal"/>
        <w:spacing w:lineRule="auto" w:line="276" w:before="0" w:after="0"/>
        <w:contextualSpacing/>
        <w:jc w:val="both"/>
        <w:rPr>
          <w:rFonts w:cs="Arial"/>
          <w:b/>
          <w:b/>
          <w:szCs w:val="20"/>
          <w:lang w:eastAsia="ar-SA"/>
        </w:rPr>
      </w:pPr>
      <w:commentRangeStart w:id="18"/>
      <w:r>
        <w:rPr>
          <w:rFonts w:cs="Arial"/>
          <w:b/>
          <w:szCs w:val="20"/>
          <w:lang w:eastAsia="ar-SA"/>
        </w:rPr>
        <w:t>ANEXO I – DOCUMENTAÇÃO EXIGIDA PARA HABILITAÇÃO</w:t>
      </w:r>
      <w:commentRangeEnd w:id="18"/>
      <w:r>
        <w:commentReference w:id="18"/>
      </w:r>
      <w:r>
        <w:rPr>
          <w:rFonts w:cs="Arial"/>
          <w:b/>
          <w:szCs w:val="20"/>
          <w:lang w:eastAsia="ar-SA"/>
        </w:rPr>
      </w:r>
    </w:p>
    <w:p>
      <w:pPr>
        <w:pStyle w:val="Normal"/>
        <w:spacing w:lineRule="auto" w:line="276" w:before="0" w:after="0"/>
        <w:contextualSpacing/>
        <w:jc w:val="both"/>
        <w:rPr>
          <w:rFonts w:eastAsia="Calibri" w:cs="Arial"/>
          <w:iCs/>
          <w:szCs w:val="20"/>
          <w:lang w:eastAsia="en-US"/>
        </w:rPr>
      </w:pPr>
      <w:r>
        <w:rPr>
          <w:rFonts w:eastAsia="Calibri" w:cs="Arial"/>
          <w:iCs/>
          <w:szCs w:val="20"/>
          <w:lang w:eastAsia="en-US"/>
        </w:rPr>
      </w:r>
    </w:p>
    <w:p>
      <w:pPr>
        <w:pStyle w:val="ListParagraph"/>
        <w:spacing w:lineRule="auto" w:line="276" w:before="120" w:after="120"/>
        <w:ind w:left="1145" w:hanging="0"/>
        <w:contextualSpacing/>
        <w:jc w:val="both"/>
        <w:rPr>
          <w:rFonts w:eastAsia="WenQuanYi Micro Hei" w:cs="Arial"/>
          <w:color w:val="000000"/>
          <w:szCs w:val="20"/>
          <w:lang w:eastAsia="zh-CN" w:bidi="hi-IN"/>
        </w:rPr>
      </w:pPr>
      <w:r>
        <w:rPr>
          <w:rFonts w:eastAsia="WenQuanYi Micro Hei" w:cs="Arial"/>
          <w:color w:val="000000"/>
          <w:szCs w:val="20"/>
          <w:lang w:eastAsia="zh-CN" w:bidi="hi-IN"/>
        </w:rPr>
      </w:r>
    </w:p>
    <w:p>
      <w:pPr>
        <w:pStyle w:val="ListParagraph"/>
        <w:numPr>
          <w:ilvl w:val="0"/>
          <w:numId w:val="7"/>
        </w:numPr>
        <w:spacing w:lineRule="auto" w:line="276" w:before="120" w:after="120"/>
        <w:ind w:left="0" w:hanging="0"/>
        <w:contextualSpacing/>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pPr>
        <w:pStyle w:val="ListParagraph"/>
        <w:spacing w:lineRule="auto" w:line="276" w:before="120" w:after="120"/>
        <w:ind w:left="1145" w:hanging="0"/>
        <w:contextualSpacing/>
        <w:jc w:val="both"/>
        <w:rPr>
          <w:rFonts w:eastAsia="WenQuanYi Micro Hei" w:cs="Arial"/>
          <w:color w:val="000000"/>
          <w:szCs w:val="20"/>
          <w:lang w:eastAsia="zh-CN" w:bidi="hi-IN"/>
        </w:rPr>
      </w:pPr>
      <w:r>
        <w:rPr>
          <w:rFonts w:eastAsia="WenQuanYi Micro Hei" w:cs="Arial"/>
          <w:color w:val="000000"/>
          <w:szCs w:val="20"/>
          <w:lang w:eastAsia="zh-CN" w:bidi="hi-IN"/>
        </w:rPr>
      </w:r>
    </w:p>
    <w:p>
      <w:pPr>
        <w:pStyle w:val="ListParagraph"/>
        <w:numPr>
          <w:ilvl w:val="1"/>
          <w:numId w:val="6"/>
        </w:numPr>
        <w:spacing w:lineRule="auto" w:line="276" w:before="120" w:after="120"/>
        <w:contextualSpacing/>
        <w:jc w:val="both"/>
        <w:rPr>
          <w:rFonts w:eastAsia="WenQuanYi Micro Hei" w:cs="Arial"/>
          <w:b/>
          <w:b/>
          <w:bCs/>
          <w:color w:val="000000"/>
          <w:szCs w:val="20"/>
          <w:lang w:eastAsia="zh-CN" w:bidi="hi-IN"/>
        </w:rPr>
      </w:pPr>
      <w:r>
        <w:rPr>
          <w:rFonts w:eastAsia="WenQuanYi Micro Hei" w:cs="Arial"/>
          <w:b/>
          <w:bCs/>
          <w:color w:val="000000"/>
          <w:szCs w:val="20"/>
          <w:lang w:eastAsia="zh-CN" w:bidi="hi-IN"/>
        </w:rPr>
        <w:t>Habilitação jurídica</w:t>
      </w:r>
    </w:p>
    <w:p>
      <w:pPr>
        <w:pStyle w:val="ListParagraph"/>
        <w:spacing w:lineRule="auto" w:line="276" w:before="120" w:after="120"/>
        <w:ind w:left="1134" w:firstLine="11"/>
        <w:contextualSpacing/>
        <w:jc w:val="both"/>
        <w:rPr>
          <w:rFonts w:eastAsia="Calibri" w:cs="Arial"/>
          <w:i/>
          <w:i/>
          <w:color w:val="FF0000"/>
          <w:szCs w:val="20"/>
          <w:lang w:eastAsia="en-US"/>
        </w:rPr>
      </w:pPr>
      <w:r>
        <w:rPr>
          <w:rFonts w:eastAsia="Calibri" w:cs="Arial"/>
          <w:i/>
          <w:color w:val="FF0000"/>
          <w:szCs w:val="20"/>
          <w:lang w:eastAsia="en-US"/>
        </w:rPr>
      </w:r>
    </w:p>
    <w:p>
      <w:pPr>
        <w:pStyle w:val="ListParagraph"/>
        <w:numPr>
          <w:ilvl w:val="2"/>
          <w:numId w:val="6"/>
        </w:numPr>
        <w:tabs>
          <w:tab w:val="clear" w:pos="708"/>
          <w:tab w:val="left" w:pos="1440" w:leader="none"/>
        </w:tabs>
        <w:snapToGrid w:val="false"/>
        <w:spacing w:lineRule="auto" w:line="276" w:before="120" w:after="120"/>
        <w:contextualSpacing/>
        <w:jc w:val="both"/>
        <w:rPr>
          <w:rFonts w:cs="DejaVu Sans"/>
          <w:szCs w:val="20"/>
        </w:rPr>
      </w:pPr>
      <w:commentRangeStart w:id="19"/>
      <w:r>
        <w:rPr>
          <w:rFonts w:cs="Arial"/>
          <w:b/>
          <w:i/>
          <w:szCs w:val="20"/>
        </w:rPr>
        <w:t>Pessoa física:</w:t>
      </w:r>
      <w:r>
        <w:rPr>
          <w:rFonts w:cs="Arial"/>
          <w:i/>
          <w:szCs w:val="20"/>
        </w:rPr>
        <w:t xml:space="preserve"> cédula de identidade (RG) ou documento equivalente que, por força de lei, tenha validade para fins de identificação em todo o território nacional;  </w:t>
      </w:r>
      <w:commentRangeEnd w:id="19"/>
      <w:r>
        <w:commentReference w:id="19"/>
      </w:r>
      <w:r>
        <w:rPr>
          <w:rFonts w:cs="Arial"/>
          <w:i/>
          <w:szCs w:val="20"/>
        </w:rPr>
      </w:r>
    </w:p>
    <w:p>
      <w:pPr>
        <w:pStyle w:val="ListParagraph"/>
        <w:numPr>
          <w:ilvl w:val="2"/>
          <w:numId w:val="6"/>
        </w:numPr>
        <w:tabs>
          <w:tab w:val="clear" w:pos="708"/>
          <w:tab w:val="left" w:pos="1440" w:leader="none"/>
        </w:tabs>
        <w:snapToGrid w:val="false"/>
        <w:spacing w:lineRule="auto" w:line="276" w:before="120" w:after="120"/>
        <w:contextualSpacing/>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pPr>
        <w:pStyle w:val="ListParagraph"/>
        <w:numPr>
          <w:ilvl w:val="2"/>
          <w:numId w:val="6"/>
        </w:numPr>
        <w:tabs>
          <w:tab w:val="clear" w:pos="708"/>
          <w:tab w:val="left" w:pos="1440" w:leader="none"/>
        </w:tabs>
        <w:snapToGrid w:val="false"/>
        <w:spacing w:lineRule="auto" w:line="276" w:before="120" w:after="120"/>
        <w:contextualSpacing/>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15">
        <w:r>
          <w:rPr>
            <w:rStyle w:val="LinkdaInternet"/>
            <w:rFonts w:cs="Arial"/>
            <w:szCs w:val="20"/>
          </w:rPr>
          <w:t>https://www.gov.br/empresas-e-negocios/pt-br/empreendedor</w:t>
        </w:r>
      </w:hyperlink>
      <w:r>
        <w:rPr>
          <w:rFonts w:cs="Arial"/>
          <w:szCs w:val="20"/>
        </w:rPr>
        <w:t>;</w:t>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commentRangeStart w:id="20"/>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commentRangeEnd w:id="20"/>
      <w:r>
        <w:commentReference w:id="20"/>
      </w:r>
      <w:r>
        <w:rPr>
          <w:rFonts w:cs="Arial"/>
          <w:color w:val="000000"/>
          <w:szCs w:val="20"/>
        </w:rPr>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commentRangeStart w:id="21"/>
      <w:r>
        <w:rPr>
          <w:rFonts w:cs="Arial"/>
          <w:b/>
          <w:i/>
          <w:iCs/>
          <w:color w:val="FF0000"/>
          <w:szCs w:val="20"/>
        </w:rPr>
        <w:t>Ato de autorização</w:t>
      </w:r>
      <w:r>
        <w:rPr>
          <w:rFonts w:cs="Arial"/>
          <w:i/>
          <w:iCs/>
          <w:color w:val="FF0000"/>
          <w:szCs w:val="20"/>
        </w:rPr>
        <w:t xml:space="preserve"> para o exercício da atividade de ............ (especificar a atividade contratada sujeita à autorização), expedido por ....... (especificar o órgão competente) nos termos do art. ..... da (Lei/Decreto) n° ........</w:t>
      </w:r>
      <w:commentRangeEnd w:id="21"/>
      <w:r>
        <w:commentReference w:id="21"/>
      </w:r>
      <w:r>
        <w:rPr>
          <w:rFonts w:cs="Arial"/>
          <w:i/>
          <w:iCs/>
          <w:color w:val="FF0000"/>
          <w:szCs w:val="20"/>
        </w:rPr>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bCs/>
          <w:color w:val="000000"/>
          <w:szCs w:val="20"/>
        </w:rPr>
      </w:pPr>
      <w:r>
        <w:rPr>
          <w:rFonts w:cs="Arial"/>
          <w:bCs/>
          <w:color w:val="000000"/>
          <w:szCs w:val="20"/>
        </w:rPr>
        <w:t>Os documentos apresentados deverão estar acompanhados de todas as alterações ou da consolidação respectiva.</w:t>
      </w:r>
    </w:p>
    <w:p>
      <w:pPr>
        <w:pStyle w:val="ListParagraph"/>
        <w:numPr>
          <w:ilvl w:val="1"/>
          <w:numId w:val="6"/>
        </w:numPr>
        <w:spacing w:lineRule="auto" w:line="276" w:before="120" w:after="120"/>
        <w:contextualSpacing/>
        <w:jc w:val="both"/>
        <w:rPr>
          <w:rFonts w:eastAsia="WenQuanYi Micro Hei" w:cs="Arial"/>
          <w:b/>
          <w:b/>
          <w:bCs/>
          <w:color w:val="000000"/>
          <w:szCs w:val="20"/>
          <w:lang w:eastAsia="zh-CN" w:bidi="hi-IN"/>
        </w:rPr>
      </w:pPr>
      <w:r>
        <w:rPr>
          <w:rFonts w:eastAsia="WenQuanYi Micro Hei" w:cs="Arial"/>
          <w:b/>
          <w:bCs/>
          <w:color w:val="000000"/>
          <w:szCs w:val="20"/>
          <w:lang w:eastAsia="zh-CN" w:bidi="hi-IN"/>
        </w:rPr>
        <w:t>Habilitações fiscal, social e trabalhista:</w:t>
      </w:r>
    </w:p>
    <w:p>
      <w:pPr>
        <w:pStyle w:val="ListParagraph"/>
        <w:numPr>
          <w:ilvl w:val="2"/>
          <w:numId w:val="6"/>
        </w:numPr>
        <w:tabs>
          <w:tab w:val="clear" w:pos="708"/>
          <w:tab w:val="left" w:pos="1440" w:leader="none"/>
        </w:tabs>
        <w:snapToGrid w:val="false"/>
        <w:spacing w:lineRule="auto" w:line="276" w:before="120" w:after="120"/>
        <w:contextualSpacing/>
        <w:jc w:val="both"/>
        <w:rPr>
          <w:rFonts w:eastAsia="Calibri" w:cs="Arial"/>
          <w:i/>
          <w:i/>
          <w:iCs/>
          <w:szCs w:val="20"/>
          <w:lang w:eastAsia="en-US"/>
        </w:rPr>
      </w:pPr>
      <w:commentRangeStart w:id="22"/>
      <w:r>
        <w:rPr>
          <w:rFonts w:cs="Arial"/>
          <w:i/>
          <w:iCs/>
          <w:szCs w:val="20"/>
        </w:rPr>
        <w:t>prova de inscrição no Cadastro de Pessoas Físicas (CPF);</w:t>
      </w:r>
      <w:commentRangeEnd w:id="22"/>
      <w:r>
        <w:commentReference w:id="22"/>
      </w:r>
      <w:r>
        <w:rPr>
          <w:rFonts w:cs="Arial"/>
          <w:i/>
          <w:iCs/>
          <w:szCs w:val="20"/>
        </w:rPr>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szCs w:val="20"/>
        </w:rPr>
      </w:pPr>
      <w:r>
        <w:rPr>
          <w:rFonts w:cs="Arial"/>
          <w:szCs w:val="20"/>
        </w:rPr>
        <w:t>prova de inscrição no Cadastro Nacional da Pessoa Jurídica (CNPJ);</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2"/>
          <w:numId w:val="6"/>
        </w:numPr>
        <w:tabs>
          <w:tab w:val="clear" w:pos="708"/>
          <w:tab w:val="left" w:pos="1440" w:leader="none"/>
        </w:tabs>
        <w:snapToGrid w:val="false"/>
        <w:spacing w:lineRule="auto" w:line="276" w:before="120" w:after="120"/>
        <w:contextualSpacing/>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
          <w:color w:val="FF0000"/>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pPr>
        <w:pStyle w:val="ListParagraph"/>
        <w:numPr>
          <w:ilvl w:val="3"/>
          <w:numId w:val="6"/>
        </w:numPr>
        <w:spacing w:lineRule="auto" w:line="276" w:before="120" w:after="120"/>
        <w:contextualSpacing/>
        <w:jc w:val="both"/>
        <w:rPr>
          <w:rFonts w:cs="Arial"/>
          <w:b/>
          <w:b/>
          <w:bCs/>
          <w:szCs w:val="20"/>
        </w:rPr>
      </w:pPr>
      <w:commentRangeStart w:id="23"/>
      <w:r>
        <w:rPr>
          <w:rFonts w:cs="Arial"/>
          <w:bCs/>
          <w:szCs w:val="20"/>
        </w:rPr>
        <w:t xml:space="preserve">O fornecedor enquadrado como microempreendedor individual que pretenda auferir os benefícios do tratamento diferenciado previstos na </w:t>
      </w:r>
      <w:hyperlink r:id="rId16">
        <w:r>
          <w:rPr>
            <w:rStyle w:val="LinkdaInternet"/>
            <w:rFonts w:cs="Arial"/>
            <w:bCs/>
            <w:szCs w:val="20"/>
          </w:rPr>
          <w:t>Lei Complementar n. 123, de 2006</w:t>
        </w:r>
      </w:hyperlink>
      <w:r>
        <w:rPr>
          <w:rFonts w:cs="Arial"/>
          <w:bCs/>
          <w:szCs w:val="20"/>
        </w:rPr>
        <w:t>, estará dispensado da prova de inscrição nos cadastros de contribuintes estadual e municipal.</w:t>
      </w:r>
      <w:commentRangeEnd w:id="23"/>
      <w:r>
        <w:commentReference w:id="23"/>
      </w:r>
      <w:r>
        <w:rPr>
          <w:rFonts w:cs="Arial"/>
          <w:bCs/>
          <w:szCs w:val="20"/>
        </w:rPr>
      </w:r>
    </w:p>
    <w:p>
      <w:pPr>
        <w:pStyle w:val="ListParagraph"/>
        <w:numPr>
          <w:ilvl w:val="2"/>
          <w:numId w:val="6"/>
        </w:numPr>
        <w:tabs>
          <w:tab w:val="clear" w:pos="708"/>
          <w:tab w:val="left" w:pos="1440" w:leader="none"/>
        </w:tabs>
        <w:snapToGrid w:val="false"/>
        <w:spacing w:lineRule="auto" w:line="276" w:before="120" w:after="120"/>
        <w:contextualSpacing/>
        <w:jc w:val="both"/>
        <w:rPr>
          <w:rFonts w:cs="DejaVu Sans"/>
          <w:szCs w:val="20"/>
        </w:rPr>
      </w:pPr>
      <w:commentRangeStart w:id="24"/>
      <w:r>
        <w:rPr>
          <w:rFonts w:cs="Arial"/>
          <w:szCs w:val="20"/>
        </w:rPr>
        <w:t xml:space="preserve">prova de </w:t>
      </w:r>
      <w:r>
        <w:rPr>
          <w:rFonts w:cs="Arial"/>
          <w:bCs/>
          <w:szCs w:val="20"/>
        </w:rPr>
        <w:t>regularidade</w:t>
      </w:r>
      <w:r>
        <w:rPr>
          <w:rFonts w:cs="Arial"/>
          <w:szCs w:val="20"/>
        </w:rPr>
        <w:t xml:space="preserve"> com a Fazenda </w:t>
      </w:r>
      <w:r>
        <w:rPr>
          <w:rFonts w:cs="Arial"/>
          <w:i/>
          <w:color w:val="FF0000"/>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pPr>
        <w:pStyle w:val="ListParagraph"/>
        <w:numPr>
          <w:ilvl w:val="3"/>
          <w:numId w:val="6"/>
        </w:numPr>
        <w:spacing w:lineRule="auto" w:line="276" w:before="120" w:after="120"/>
        <w:contextualSpacing/>
        <w:jc w:val="both"/>
        <w:rPr>
          <w:szCs w:val="20"/>
        </w:rPr>
      </w:pPr>
      <w:r>
        <w:rPr>
          <w:rFonts w:cs="Arial"/>
          <w:szCs w:val="20"/>
        </w:rPr>
        <w:t xml:space="preserve">caso o fornecedor seja considerado isento dos tributos </w:t>
      </w:r>
      <w:r>
        <w:rPr>
          <w:rFonts w:cs="Arial"/>
          <w:i/>
          <w:color w:val="FF0000"/>
          <w:szCs w:val="20"/>
        </w:rPr>
        <w:t>estaduais</w:t>
      </w:r>
      <w:r>
        <w:rPr>
          <w:rFonts w:cs="Arial"/>
          <w:i/>
          <w:iCs/>
          <w:color w:val="FF0000"/>
          <w:szCs w:val="20"/>
        </w:rPr>
        <w:t>/municipais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24"/>
      <w:r>
        <w:commentReference w:id="24"/>
      </w:r>
      <w:r>
        <w:rPr>
          <w:rFonts w:cs="Arial"/>
          <w:szCs w:val="20"/>
        </w:rPr>
      </w:r>
    </w:p>
    <w:p>
      <w:pPr>
        <w:pStyle w:val="ListParagraph"/>
        <w:ind w:left="360" w:hanging="0"/>
        <w:rPr>
          <w:rFonts w:eastAsia="WenQuanYi Micro Hei" w:cs="Arial"/>
          <w:color w:val="000000"/>
          <w:szCs w:val="20"/>
          <w:shd w:fill="00FF00" w:val="clear"/>
          <w:lang w:eastAsia="zh-CN" w:bidi="hi-IN"/>
        </w:rPr>
      </w:pPr>
      <w:r>
        <w:rPr>
          <w:rFonts w:eastAsia="WenQuanYi Micro Hei" w:cs="Arial"/>
          <w:color w:val="000000"/>
          <w:szCs w:val="20"/>
          <w:shd w:fill="00FF00" w:val="clear"/>
          <w:lang w:eastAsia="zh-CN" w:bidi="hi-IN"/>
        </w:rPr>
      </w:r>
    </w:p>
    <w:p>
      <w:pPr>
        <w:pStyle w:val="ListParagraph"/>
        <w:numPr>
          <w:ilvl w:val="1"/>
          <w:numId w:val="6"/>
        </w:numPr>
        <w:spacing w:lineRule="auto" w:line="276" w:before="120" w:after="120"/>
        <w:contextualSpacing/>
        <w:jc w:val="both"/>
        <w:rPr>
          <w:rFonts w:eastAsia="Calibri" w:cs="DejaVu Sans"/>
          <w:b/>
          <w:b/>
          <w:bCs/>
          <w:szCs w:val="20"/>
          <w:lang w:eastAsia="en-US"/>
        </w:rPr>
      </w:pPr>
      <w:commentRangeStart w:id="25"/>
      <w:r>
        <w:rPr>
          <w:rFonts w:cs="Arial"/>
          <w:b/>
          <w:bCs/>
          <w:color w:val="000000"/>
          <w:szCs w:val="20"/>
        </w:rPr>
        <w:t>Habilitação econômico-financeira</w:t>
      </w:r>
      <w:r>
        <w:rPr>
          <w:rFonts w:eastAsia="WenQuanYi Micro Hei" w:cs="Arial"/>
          <w:b/>
          <w:bCs/>
          <w:color w:val="000000"/>
          <w:szCs w:val="20"/>
          <w:lang w:eastAsia="zh-CN" w:bidi="hi-IN"/>
        </w:rPr>
        <w:t xml:space="preserve">: </w:t>
      </w:r>
      <w:commentRangeEnd w:id="25"/>
      <w:r>
        <w:commentReference w:id="25"/>
      </w:r>
      <w:r>
        <w:rPr>
          <w:rFonts w:eastAsia="WenQuanYi Micro Hei" w:cs="Arial"/>
          <w:b/>
          <w:bCs/>
          <w:color w:val="000000"/>
          <w:szCs w:val="20"/>
          <w:lang w:eastAsia="zh-CN" w:bidi="hi-IN"/>
        </w:rPr>
      </w:r>
    </w:p>
    <w:p>
      <w:pPr>
        <w:pStyle w:val="ListParagraph"/>
        <w:numPr>
          <w:ilvl w:val="2"/>
          <w:numId w:val="6"/>
        </w:numPr>
        <w:tabs>
          <w:tab w:val="clear" w:pos="708"/>
          <w:tab w:val="left" w:pos="1440" w:leader="none"/>
        </w:tabs>
        <w:snapToGrid w:val="false"/>
        <w:spacing w:lineRule="auto" w:line="276" w:before="120" w:after="120"/>
        <w:contextualSpacing/>
        <w:jc w:val="both"/>
        <w:rPr>
          <w:szCs w:val="20"/>
        </w:rPr>
      </w:pPr>
      <w:r>
        <w:rPr>
          <w:rFonts w:cs="Arial"/>
          <w:i/>
          <w:iCs/>
          <w:color w:val="FF0000"/>
          <w:szCs w:val="20"/>
        </w:rPr>
        <w:t>certidão negativa de insolvência civil</w:t>
      </w:r>
      <w:r>
        <w:rPr>
          <w:i/>
          <w:iCs/>
          <w:color w:val="FF0000"/>
          <w:szCs w:val="20"/>
        </w:rPr>
        <w:t xml:space="preserve"> expedida pelo</w:t>
      </w:r>
      <w:r>
        <w:rPr>
          <w:color w:val="FF0000"/>
          <w:szCs w:val="20"/>
        </w:rPr>
        <w:t xml:space="preserve"> </w:t>
      </w:r>
      <w:r>
        <w:rPr>
          <w:rFonts w:cs="Arial"/>
          <w:i/>
          <w:iCs/>
          <w:color w:val="FF0000"/>
          <w:szCs w:val="20"/>
        </w:rPr>
        <w:t xml:space="preserve">distribuidor do domicílio ou sede do fornecedor, caso se trate de pessoa física </w:t>
      </w:r>
      <w:r>
        <w:fldChar w:fldCharType="begin"/>
      </w:r>
      <w:r>
        <w:rPr>
          <w:rStyle w:val="LinkdaInternet"/>
          <w:i/>
          <w:szCs w:val="20"/>
          <w:iCs/>
          <w:rFonts w:cs="Arial"/>
        </w:rPr>
        <w:instrText xml:space="preserve"> HYPERLINK "https://in.gov.br/en/web/dou/-/instrucao-normativa-seges/me-n-116-de-21-de-dezembro-de-2021-370926958" \l "art5"</w:instrText>
      </w:r>
      <w:r>
        <w:rPr>
          <w:rStyle w:val="LinkdaInternet"/>
          <w:i/>
          <w:szCs w:val="20"/>
          <w:iCs/>
          <w:rFonts w:cs="Arial"/>
        </w:rPr>
        <w:fldChar w:fldCharType="separate"/>
      </w:r>
      <w:r>
        <w:rPr>
          <w:rStyle w:val="LinkdaInternet"/>
          <w:rFonts w:cs="Arial"/>
          <w:i/>
          <w:iCs/>
          <w:szCs w:val="20"/>
        </w:rPr>
        <w:t>(art. 5º, inciso II, alínea “c”, da IN Seges/ME nº 116/2021</w:t>
      </w:r>
      <w:r>
        <w:rPr>
          <w:rStyle w:val="LinkdaInternet"/>
          <w:i/>
          <w:szCs w:val="20"/>
          <w:iCs/>
          <w:rFonts w:cs="Arial"/>
        </w:rPr>
        <w:fldChar w:fldCharType="end"/>
      </w:r>
      <w:r>
        <w:rPr>
          <w:rFonts w:cs="Arial"/>
          <w:i/>
          <w:iCs/>
          <w:color w:val="FF0000"/>
          <w:szCs w:val="20"/>
        </w:rPr>
        <w:t xml:space="preserve">) ou de sociedade simples; </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pPr>
        <w:pStyle w:val="ListParagraph"/>
        <w:numPr>
          <w:ilvl w:val="3"/>
          <w:numId w:val="6"/>
        </w:numPr>
        <w:spacing w:lineRule="auto" w:line="276" w:before="120" w:after="120"/>
        <w:contextualSpacing/>
        <w:jc w:val="both"/>
        <w:rPr>
          <w:rFonts w:cs="Arial"/>
          <w:szCs w:val="20"/>
        </w:rPr>
      </w:pPr>
      <w:r>
        <w:rPr>
          <w:rFonts w:cs="Arial"/>
          <w:szCs w:val="20"/>
        </w:rPr>
        <w:t>Os documentos referidos no subitem acima limitar-se-ão ao último exercício social, caso a empresa tenha sido constituída há menos de 2 (dois) anos;</w:t>
      </w:r>
    </w:p>
    <w:p>
      <w:pPr>
        <w:pStyle w:val="ListParagraph"/>
        <w:numPr>
          <w:ilvl w:val="3"/>
          <w:numId w:val="6"/>
        </w:numPr>
        <w:spacing w:lineRule="auto" w:line="276" w:before="120" w:after="120"/>
        <w:contextualSpacing/>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pPr>
        <w:pStyle w:val="ListParagraph"/>
        <w:numPr>
          <w:ilvl w:val="3"/>
          <w:numId w:val="6"/>
        </w:numPr>
        <w:spacing w:lineRule="auto" w:line="276" w:before="120" w:after="120"/>
        <w:contextualSpacing/>
        <w:jc w:val="both"/>
        <w:rPr>
          <w:rFonts w:cs="Arial"/>
          <w:szCs w:val="20"/>
        </w:rPr>
      </w:pPr>
      <w:commentRangeStart w:id="26"/>
      <w:r>
        <w:rPr>
          <w:rFonts w:cs="Arial"/>
          <w:szCs w:val="20"/>
        </w:rPr>
        <w:t>É admissível o balanço intermediário, se decorrer de lei ou do contrato/estatuto social.</w:t>
      </w:r>
      <w:commentRangeEnd w:id="26"/>
      <w:r>
        <w:commentReference w:id="26"/>
      </w:r>
      <w:r>
        <w:rPr>
          <w:rFonts w:cs="Arial"/>
          <w:szCs w:val="20"/>
        </w:rPr>
      </w:r>
    </w:p>
    <w:p>
      <w:pPr>
        <w:pStyle w:val="Normal"/>
        <w:numPr>
          <w:ilvl w:val="2"/>
          <w:numId w:val="6"/>
        </w:numPr>
        <w:spacing w:lineRule="auto" w:line="276" w:before="120" w:after="120"/>
        <w:jc w:val="both"/>
        <w:rPr>
          <w:rFonts w:cs="DejaVu Sans"/>
          <w:i/>
          <w:i/>
          <w:color w:val="FF0000"/>
          <w:szCs w:val="20"/>
        </w:rPr>
      </w:pPr>
      <w:r>
        <w:rPr>
          <w:i/>
          <w:color w:val="FF0000"/>
          <w:szCs w:val="20"/>
        </w:rPr>
        <w:t xml:space="preserve">Caso o fornecedor seja cooperativa, o balanço e as demais demonstrações contáveis deverão ser </w:t>
      </w:r>
      <w:r>
        <w:rPr>
          <w:rFonts w:cs="Arial"/>
          <w:i/>
          <w:color w:val="FF0000"/>
          <w:szCs w:val="20"/>
        </w:rPr>
        <w:t>acompanhados</w:t>
      </w:r>
      <w:r>
        <w:rPr>
          <w:i/>
          <w:color w:val="FF0000"/>
          <w:szCs w:val="20"/>
        </w:rPr>
        <w:t xml:space="preserve"> de cópia do parecer da última auditoria contábil-financeira, conforme dispõe o </w:t>
      </w:r>
      <w:r>
        <w:fldChar w:fldCharType="begin"/>
      </w:r>
      <w:r>
        <w:rPr>
          <w:rStyle w:val="LinkdaInternet"/>
          <w:i/>
          <w:szCs w:val="20"/>
        </w:rPr>
        <w:instrText xml:space="preserve"> HYPERLINK "https://www.planalto.gov.br/ccivil_03/leis/l5764.htm" \l ":~:text=LEI Nº 5.764%2C DE 16,cooperativas%2C e dá outras providências"</w:instrText>
      </w:r>
      <w:r>
        <w:rPr>
          <w:rStyle w:val="LinkdaInternet"/>
          <w:i/>
          <w:szCs w:val="20"/>
        </w:rPr>
        <w:fldChar w:fldCharType="separate"/>
      </w:r>
      <w:r>
        <w:rPr>
          <w:rStyle w:val="LinkdaInternet"/>
          <w:i/>
          <w:szCs w:val="20"/>
        </w:rPr>
        <w:t>artigo 112 da Lei nº 5.764, de 1971</w:t>
      </w:r>
      <w:r>
        <w:rPr>
          <w:rStyle w:val="LinkdaInternet"/>
          <w:i/>
          <w:szCs w:val="20"/>
        </w:rPr>
        <w:fldChar w:fldCharType="end"/>
      </w:r>
      <w:r>
        <w:rPr>
          <w:i/>
          <w:color w:val="FF0000"/>
          <w:szCs w:val="20"/>
        </w:rPr>
        <w:t>, ou de uma declaração, sob as penas da lei, de que tal auditoria não foi exigida pelo órgão fiscalizador.</w:t>
      </w:r>
    </w:p>
    <w:p>
      <w:pPr>
        <w:pStyle w:val="ListParagraph"/>
        <w:numPr>
          <w:ilvl w:val="2"/>
          <w:numId w:val="6"/>
        </w:numPr>
        <w:tabs>
          <w:tab w:val="clear" w:pos="708"/>
          <w:tab w:val="left" w:pos="1440" w:leader="none"/>
        </w:tabs>
        <w:snapToGrid w:val="false"/>
        <w:spacing w:lineRule="auto" w:line="276" w:before="120" w:after="120"/>
        <w:contextualSpacing/>
        <w:jc w:val="both"/>
        <w:rPr>
          <w:rFonts w:cs="Arial"/>
          <w:color w:val="FF0000"/>
          <w:szCs w:val="20"/>
        </w:rPr>
      </w:pPr>
      <w:commentRangeStart w:id="27"/>
      <w:r>
        <w:rPr>
          <w:rFonts w:cs="Arial"/>
          <w:color w:val="000000"/>
          <w:szCs w:val="20"/>
        </w:rPr>
        <w:t xml:space="preserve">Além dos documentos acima, deverá ser comprovada a boa situação financeira da empresa, mediante obtenção do(s) índice(s) </w:t>
      </w:r>
      <w:r>
        <w:rPr>
          <w:rFonts w:cs="Arial"/>
          <w:color w:val="FF0000"/>
          <w:szCs w:val="20"/>
        </w:rPr>
        <w:t>(....),</w:t>
      </w:r>
      <w:r>
        <w:rPr>
          <w:rFonts w:cs="Arial"/>
          <w:color w:val="000000"/>
          <w:szCs w:val="20"/>
        </w:rPr>
        <w:t xml:space="preserve"> obtido(s) pela aplicação das seguintes fórmulas: </w:t>
      </w:r>
      <w:r>
        <w:rPr>
          <w:rFonts w:cs="Arial"/>
          <w:color w:val="FF0000"/>
          <w:szCs w:val="20"/>
        </w:rPr>
        <w:t xml:space="preserve">(...) </w:t>
      </w:r>
      <w:commentRangeEnd w:id="27"/>
      <w:r>
        <w:commentReference w:id="27"/>
      </w:r>
      <w:r>
        <w:rPr>
          <w:rFonts w:cs="Arial"/>
          <w:color w:val="FF0000"/>
          <w:szCs w:val="20"/>
        </w:rPr>
      </w:r>
    </w:p>
    <w:p>
      <w:pPr>
        <w:pStyle w:val="Normal"/>
        <w:numPr>
          <w:ilvl w:val="2"/>
          <w:numId w:val="6"/>
        </w:numPr>
        <w:tabs>
          <w:tab w:val="clear" w:pos="708"/>
          <w:tab w:val="left" w:pos="1440" w:leader="none"/>
        </w:tabs>
        <w:snapToGrid w:val="false"/>
        <w:spacing w:lineRule="auto" w:line="276" w:before="120" w:after="120"/>
        <w:jc w:val="both"/>
        <w:rPr>
          <w:rFonts w:cs="DejaVu Sans"/>
          <w:color w:val="FF0000"/>
          <w:szCs w:val="20"/>
        </w:rPr>
      </w:pPr>
      <w:commentRangeStart w:id="28"/>
      <w:r>
        <w:rPr>
          <w:rFonts w:cs="Arial"/>
          <w:color w:val="FF0000"/>
          <w:szCs w:val="20"/>
        </w:rPr>
        <w:t>A empresa deverá comprovar, ainda, capital mínimo ou patrimônio líquido mínimo de</w:t>
      </w:r>
      <w:r>
        <w:rPr>
          <w:rFonts w:cs="Arial"/>
          <w:i/>
          <w:iCs/>
          <w:color w:val="FF0000"/>
          <w:szCs w:val="20"/>
        </w:rPr>
        <w:t xml:space="preserve"> ... (....) % </w:t>
      </w:r>
      <w:r>
        <w:rPr>
          <w:rFonts w:cs="Arial"/>
          <w:color w:val="FF0000"/>
          <w:szCs w:val="20"/>
        </w:rPr>
        <w:t xml:space="preserve">do valor estimado da contratação ou do item pertinente. </w:t>
      </w:r>
      <w:commentRangeEnd w:id="28"/>
      <w:r>
        <w:commentReference w:id="28"/>
      </w:r>
      <w:r>
        <w:rPr>
          <w:rFonts w:cs="Arial"/>
          <w:color w:val="FF0000"/>
          <w:szCs w:val="20"/>
        </w:rPr>
      </w:r>
    </w:p>
    <w:p>
      <w:pPr>
        <w:pStyle w:val="Normal"/>
        <w:numPr>
          <w:ilvl w:val="2"/>
          <w:numId w:val="6"/>
        </w:numPr>
        <w:tabs>
          <w:tab w:val="clear" w:pos="708"/>
          <w:tab w:val="left" w:pos="1440" w:leader="none"/>
        </w:tabs>
        <w:snapToGrid w:val="false"/>
        <w:spacing w:lineRule="auto" w:line="276" w:before="120" w:after="120"/>
        <w:jc w:val="both"/>
        <w:rPr>
          <w:rFonts w:cs="Arial"/>
          <w:i/>
          <w:i/>
          <w:iCs/>
          <w:color w:val="FF0000"/>
          <w:szCs w:val="20"/>
        </w:rPr>
      </w:pPr>
      <w:commentRangeStart w:id="29"/>
      <w:r>
        <w:rPr>
          <w:rFonts w:cs="Arial"/>
          <w:i/>
          <w:iCs/>
          <w:color w:val="FF0000"/>
          <w:szCs w:val="20"/>
        </w:rPr>
        <w:t xml:space="preserve">O atendimento dos índices econômicos previstos neste item deverá ser atestado por meio de declaração assinada por profissional habilitado da área contábil, apresentada pelo fornecedor. </w:t>
      </w:r>
      <w:commentRangeEnd w:id="29"/>
      <w:r>
        <w:commentReference w:id="29"/>
      </w:r>
      <w:r>
        <w:rPr>
          <w:rFonts w:cs="Arial"/>
          <w:i/>
          <w:iCs/>
          <w:color w:val="FF0000"/>
          <w:szCs w:val="20"/>
        </w:rPr>
      </w:r>
    </w:p>
    <w:p>
      <w:pPr>
        <w:pStyle w:val="Normal"/>
        <w:numPr>
          <w:ilvl w:val="2"/>
          <w:numId w:val="6"/>
        </w:numPr>
        <w:tabs>
          <w:tab w:val="clear" w:pos="708"/>
          <w:tab w:val="left" w:pos="1440" w:leader="none"/>
        </w:tabs>
        <w:snapToGrid w:val="false"/>
        <w:spacing w:lineRule="auto" w:line="276" w:before="120" w:after="120"/>
        <w:jc w:val="both"/>
        <w:rPr>
          <w:szCs w:val="22"/>
        </w:rPr>
      </w:pPr>
      <w:commentRangeStart w:id="30"/>
      <w:r>
        <w:rPr>
          <w:rFonts w:cs="Arial"/>
          <w:bCs/>
          <w:i/>
          <w:color w:val="FF0000"/>
          <w:szCs w:val="20"/>
        </w:rPr>
        <w:t xml:space="preserve">A empresa deverá apresentar, ainda, declaração contendo a relação de compromissos por ela assumidos, conforme modelo constante do Anexo ....., que importem em </w:t>
      </w:r>
      <w:r>
        <w:rPr>
          <w:rFonts w:cs="Arial"/>
          <w:i/>
          <w:iCs/>
          <w:color w:val="FF0000"/>
          <w:szCs w:val="20"/>
        </w:rPr>
        <w:t>diminuição</w:t>
      </w:r>
      <w:r>
        <w:rPr>
          <w:i/>
          <w:color w:val="FF0000"/>
        </w:rPr>
        <w:t xml:space="preserve"> de sua capacidade econômico-financeira, excluídas parcelas já executadas de contratos firmados.</w:t>
      </w:r>
      <w:commentRangeEnd w:id="30"/>
      <w:r>
        <w:commentReference w:id="30"/>
      </w:r>
      <w:r>
        <w:rPr>
          <w:i/>
          <w:color w:val="FF0000"/>
        </w:rPr>
      </w:r>
    </w:p>
    <w:p>
      <w:pPr>
        <w:pStyle w:val="ListParagraph"/>
        <w:numPr>
          <w:ilvl w:val="1"/>
          <w:numId w:val="6"/>
        </w:numPr>
        <w:spacing w:lineRule="auto" w:line="276" w:before="120" w:after="120"/>
        <w:contextualSpacing/>
        <w:jc w:val="both"/>
        <w:rPr>
          <w:rFonts w:cs="DejaVu Sans"/>
          <w:b/>
          <w:b/>
          <w:bCs/>
          <w:szCs w:val="20"/>
        </w:rPr>
      </w:pPr>
      <w:commentRangeStart w:id="31"/>
      <w:r>
        <w:rPr>
          <w:rFonts w:cs="Arial"/>
          <w:b/>
          <w:bCs/>
          <w:color w:val="000000"/>
          <w:szCs w:val="20"/>
        </w:rPr>
        <w:t>Habilitação técnica:</w:t>
      </w:r>
    </w:p>
    <w:p>
      <w:pPr>
        <w:pStyle w:val="ListParagraph"/>
        <w:numPr>
          <w:ilvl w:val="2"/>
          <w:numId w:val="6"/>
        </w:numPr>
        <w:spacing w:lineRule="auto" w:line="276" w:before="120" w:after="120"/>
        <w:contextualSpacing/>
        <w:jc w:val="both"/>
        <w:rPr>
          <w:rFonts w:cs="Arial"/>
          <w:b/>
          <w:b/>
          <w:bCs/>
          <w:iCs/>
          <w:color w:val="000000"/>
          <w:szCs w:val="20"/>
        </w:rPr>
      </w:pPr>
      <w:r>
        <w:rPr>
          <w:rFonts w:cs="Arial"/>
          <w:iCs/>
          <w:color w:val="FF0000"/>
          <w:szCs w:val="20"/>
        </w:rPr>
        <w:t>....</w:t>
      </w:r>
      <w:r>
        <w:rPr>
          <w:rFonts w:cs="Arial"/>
          <w:b/>
          <w:bCs/>
          <w:iCs/>
          <w:color w:val="000000"/>
          <w:szCs w:val="20"/>
        </w:rPr>
        <w:t xml:space="preserve"> </w:t>
      </w:r>
      <w:commentRangeEnd w:id="31"/>
      <w:r>
        <w:commentReference w:id="31"/>
      </w:r>
      <w:r>
        <w:rPr>
          <w:rFonts w:cs="Arial"/>
          <w:b/>
          <w:bCs/>
          <w:iCs/>
          <w:color w:val="000000"/>
          <w:szCs w:val="20"/>
        </w:rPr>
      </w:r>
    </w:p>
    <w:p>
      <w:pPr>
        <w:pStyle w:val="ListParagraph"/>
        <w:numPr>
          <w:ilvl w:val="2"/>
          <w:numId w:val="6"/>
        </w:numPr>
        <w:spacing w:lineRule="auto" w:line="276" w:before="120" w:after="120"/>
        <w:contextualSpacing/>
        <w:jc w:val="both"/>
        <w:textAlignment w:val="baseline"/>
        <w:rPr>
          <w:rFonts w:cs="Arial"/>
          <w:i/>
          <w:i/>
          <w:iCs/>
          <w:color w:val="FF0000"/>
          <w:szCs w:val="20"/>
        </w:rPr>
      </w:pPr>
      <w:commentRangeStart w:id="32"/>
      <w:r>
        <w:rPr>
          <w:rFonts w:cs="Arial"/>
          <w:i/>
          <w:iCs/>
          <w:color w:val="FF0000"/>
          <w:szCs w:val="20"/>
        </w:rPr>
        <w:t xml:space="preserve">Declaração do fornecedor atestando que conhece o local e as condições de realização do serviço, independentemente de ter exercido, ou não, o direito de vistoria disciplinado no Termo de Referência, </w:t>
      </w:r>
      <w:r>
        <w:rPr>
          <w:rFonts w:cs="Arial"/>
          <w:b/>
          <w:i/>
          <w:iCs/>
          <w:color w:val="FF0000"/>
          <w:szCs w:val="20"/>
        </w:rPr>
        <w:t>ou</w:t>
      </w:r>
      <w:r>
        <w:rPr>
          <w:rFonts w:cs="Arial"/>
          <w:i/>
          <w:iCs/>
          <w:color w:val="FF0000"/>
          <w:szCs w:val="20"/>
        </w:rPr>
        <w:t xml:space="preserve">, </w:t>
      </w:r>
      <w:r>
        <w:rPr>
          <w:rFonts w:cs="Arial"/>
          <w:b/>
          <w:i/>
          <w:iCs/>
          <w:color w:val="FF0000"/>
          <w:szCs w:val="20"/>
        </w:rPr>
        <w:t>alternativamente,</w:t>
      </w:r>
      <w:r>
        <w:rPr>
          <w:rFonts w:cs="Arial"/>
          <w:i/>
          <w:iCs/>
          <w:color w:val="FF0000"/>
          <w:szCs w:val="20"/>
        </w:rPr>
        <w:t xml:space="preserve"> declaração formal do fornecedor, assinada por seu responsável técnico, acerca do conhecimento pleno das condições e peculiaridades da contratação, conforme modelo constante do Anexo .... do presente Aviso de Contratação Direta. </w:t>
      </w:r>
      <w:commentRangeEnd w:id="32"/>
      <w:r>
        <w:commentReference w:id="32"/>
      </w:r>
      <w:r>
        <w:rPr>
          <w:rFonts w:cs="Arial"/>
          <w:i/>
          <w:iCs/>
          <w:color w:val="FF0000"/>
          <w:szCs w:val="20"/>
        </w:rPr>
      </w:r>
    </w:p>
    <w:p>
      <w:pPr>
        <w:pStyle w:val="Normal"/>
        <w:rPr/>
      </w:pPr>
      <w:r>
        <w:rPr/>
      </w:r>
    </w:p>
    <w:sectPr>
      <w:headerReference w:type="default" r:id="rId17"/>
      <w:headerReference w:type="first" r:id="rId18"/>
      <w:footerReference w:type="default" r:id="rId19"/>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sz w:val="24"/>
          <w:lang w:val="en-US" w:eastAsia="en-US" w:bidi="en-US"/>
        </w:rPr>
        <w:t xml:space="preserve">ORIENTAÇÕES PARA USO DO MODELO – </w:t>
      </w:r>
      <w:r>
        <w:rPr>
          <w:rFonts w:ascii="Liberation Serif" w:hAnsi="Liberation Serif" w:eastAsia="Segoe UI"/>
          <w:b/>
          <w:bCs/>
          <w:color w:val="FF0000"/>
          <w:sz w:val="24"/>
          <w:lang w:val="en-US" w:eastAsia="en-US" w:bidi="en-US"/>
        </w:rPr>
        <w:t>LEITURA OBRIGATÓRIA</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1)</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 xml:space="preserve">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w:t>
      </w:r>
      <w:hyperlink r:id="rId1">
        <w:r>
          <w:rPr>
            <w:rFonts w:ascii="Liberation Serif" w:hAnsi="Liberation Serif" w:eastAsia="Segoe UI"/>
            <w:sz w:val="24"/>
            <w:lang w:val="en-US" w:eastAsia="en-US" w:bidi="en-US"/>
          </w:rPr>
          <w:t>https://www.gov.br/compras/pt-br/acesso-a-informacao/manuais/dispensa-eletronica/ManualNovoDispensaEletrnica28.01.2022.pdf</w:t>
        </w:r>
      </w:hyperlink>
      <w:r>
        <w:rPr>
          <w:rFonts w:ascii="Liberation Serif" w:hAnsi="Liberation Serif" w:eastAsia="Segoe UI"/>
          <w:sz w:val="24"/>
          <w:lang w:val="en-US" w:eastAsia="en-US" w:bidi="en-US"/>
        </w:rPr>
        <w:t>.</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2)</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3)</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 xml:space="preserve">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4)</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 xml:space="preserve">Alguns itens receberam notas explicativas, destacadas para compreensão do agente ou setor responsável, que deverão ser devidamente suprimidas ao se finalizar o documento na versão original. </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5)</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6)</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 xml:space="preserve">Quaisquer sugestões de alteração poderão ser encaminhadas ao e-mail: </w:t>
      </w:r>
      <w:hyperlink r:id="rId2">
        <w:r>
          <w:rPr>
            <w:rFonts w:ascii="Liberation Serif" w:hAnsi="Liberation Serif" w:eastAsia="Segoe UI"/>
            <w:sz w:val="24"/>
            <w:lang w:val="en-US" w:eastAsia="en-US" w:bidi="en-US"/>
          </w:rPr>
          <w:t>cgu.modeloscontratacao@agu.gov.br</w:t>
        </w:r>
      </w:hyperlink>
      <w:r>
        <w:rPr>
          <w:rFonts w:ascii="Liberation Serif" w:hAnsi="Liberation Serif" w:eastAsia="Segoe UI"/>
          <w:sz w:val="24"/>
          <w:lang w:val="en-US" w:eastAsia="en-US" w:bidi="en-US"/>
        </w:rPr>
        <w:t>.</w:t>
      </w:r>
    </w:p>
    <w:p>
      <w:r>
        <w:rPr>
          <w:rFonts w:ascii="Liberation Serif" w:hAnsi="Liberation Serif" w:eastAsia="Segoe UI"/>
          <w:sz w:val="24"/>
          <w:lang w:val="en-US" w:eastAsia="en-US" w:bidi="en-US"/>
        </w:rPr>
      </w:r>
    </w:p>
    <w:p>
      <w:r>
        <w:rPr>
          <w:rFonts w:ascii="Liberation Serif" w:hAnsi="Liberation Serif" w:eastAsia="Segoe UI"/>
          <w:sz w:val="24"/>
          <w:lang w:val="en-US" w:eastAsia="en-US" w:bidi="en-US"/>
        </w:rPr>
        <w:t>7)</w:t>
      </w:r>
      <w:r>
        <w:rPr>
          <w:rFonts w:ascii="Liberation Serif" w:hAnsi="Liberation Serif" w:eastAsia="Segoe UI"/>
          <w:sz w:val="24"/>
          <w:lang w:val="en-US" w:eastAsia="en-US" w:bidi="en-US"/>
        </w:rPr>
      </w:r>
      <w:r>
        <w:rPr>
          <w:rFonts w:ascii="Liberation Serif" w:hAnsi="Liberation Serif" w:eastAsia="Segoe UI"/>
          <w:sz w:val="24"/>
          <w:lang w:val="en-US" w:eastAsia="en-US" w:bidi="en-US"/>
        </w:rPr>
        <w:t xml:space="preserve">Este modelo </w:t>
      </w:r>
      <w:r>
        <w:rPr>
          <w:rFonts w:ascii="Liberation Serif" w:hAnsi="Liberation Serif" w:eastAsia="Segoe UI"/>
          <w:b/>
          <w:bCs/>
          <w:sz w:val="24"/>
          <w:lang w:val="en-US" w:eastAsia="en-US" w:bidi="en-US"/>
        </w:rPr>
        <w:t>poderá</w:t>
      </w:r>
      <w:r>
        <w:rPr>
          <w:rFonts w:ascii="Liberation Serif" w:hAnsi="Liberation Serif" w:eastAsia="Segoe UI"/>
          <w:sz w:val="24"/>
          <w:lang w:val="en-US" w:eastAsia="en-US" w:bidi="en-US"/>
        </w:rPr>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14:paraId="01000000">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Ajustar o Preâmbulo com a hipótese de dispensa.</w:t>
      </w:r>
    </w:p>
  </w:comment>
  <w:comment w:id="2" w:author="Autor" w:date="0-00-00T00:00:00Z" w:initials="A">
    <w:p w14:paraId="02000000">
      <w:r>
        <w:rPr>
          <w:rFonts w:ascii="Liberation Serif" w:hAnsi="Liberation Serif" w:eastAsia="Segoe UI"/>
          <w:b/>
          <w:bCs/>
          <w:i/>
          <w:iCs/>
          <w:color w:val="000000"/>
          <w:sz w:val="24"/>
          <w:lang w:val="en-US" w:eastAsia="en-US" w:bidi="en-US"/>
        </w:rPr>
        <w:t xml:space="preserve">Nota explicativa 1: </w:t>
      </w:r>
      <w:r>
        <w:rPr>
          <w:rFonts w:ascii="Liberation Serif" w:hAnsi="Liberation Serif" w:eastAsia="Segoe UI"/>
          <w:i/>
          <w:iCs/>
          <w:color w:val="000000"/>
          <w:sz w:val="24"/>
          <w:lang w:val="en-US" w:eastAsia="en-US" w:bidi="en-US"/>
        </w:rPr>
        <w:t>O horário da fase de lances deverá ser estabelecido conforme o art. 11 da Instrução Normativa Seges/ME nº 67, de 2021.</w:t>
      </w:r>
    </w:p>
  </w:comment>
  <w:comment w:id="3"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A tabela abaixo é meramente ilustrativa. Incumbe à área contratante ajustá-la incluindo ou excluindo informações na medida em que forem aplicáveis ou não à contratação em questão.</w:t>
      </w:r>
    </w:p>
  </w:comment>
  <w:comment w:id="4"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Utilizar o subitem 2.2.5, se não for possível a contratação de cooperativas. Caso contrário, utilizar os subitens 2.3 e 2.3.1. </w:t>
      </w:r>
    </w:p>
    <w:p w14:paraId="03000000">
      <w:r>
        <w:rPr>
          <w:rFonts w:ascii="Liberation Serif" w:hAnsi="Liberation Serif" w:eastAsia="Segoe UI"/>
          <w:i/>
          <w:iCs/>
          <w:color w:val="000000"/>
          <w:sz w:val="24"/>
          <w:lang w:val="en-US" w:eastAsia="en-US" w:bidi="en-US"/>
        </w:rPr>
        <w:t>Lembramos que, caso se proíba a participação de cooperativas, as demais disposições do Aviso de Contratação Direta deverão ser adaptadas a esta nova condição.</w:t>
      </w:r>
    </w:p>
  </w:comment>
  <w:comment w:id="5" w:author="Autor" w:date="0-00-00T00:00:00Z" w:initials="A">
    <w:p w14:paraId="04000000">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comment>
  <w:comment w:id="6" w:author="Autor" w:date="0-00-00T00:00:00Z" w:initials="A">
    <w:p w14:paraId="05000000">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7" w:author="Autor" w:date="0-00-00T00:00:00Z" w:initials="A">
    <w:p w14:paraId="06000000">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Atentar se o sistema já possui essa funcionalidade instalada. Caso não tenha, suprimir o subitem 3.11 e itens subordinados. Se já houver a funcionalidade, a revisão deve ser mantida.</w:t>
      </w:r>
    </w:p>
  </w:comment>
  <w:comment w:id="8"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utilizar este subitem caso o objeto a ser contratado exija a discriminação de custos unitários e/ou a apresentação de planilha de formação de preços (ex: serviços de engenharia sob o regime de execução de empreitada por preço unitário, em relação aos custos tidos como relevantes, ou serviços com dedicação de mão-de-obra). Deve-se verificar, outrossim, se a inexequibilidade de custos unitários isolados será utilizada como critério de desclassificação.</w:t>
      </w:r>
    </w:p>
  </w:comment>
  <w:comment w:id="9"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Preencher com prazo reputado como razoável para a conclusão da contratação. Registre-se que não há prazo mínimo ou máximo de validade previsto em normativo neste caso.</w:t>
      </w:r>
    </w:p>
  </w:comment>
  <w:comment w:id="11"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Se o regime não for de empreitada por preço unitário, não cabe desclassificação em razão de custos unitários superiores aos orçados pela Administração, por força do art. 56, §5º, da Lei nº 14.133, de 2021. Por essa razão, essa planilha, neste momento, servirá apenas para aferir a exequibilidade da proposta; e não eventual sobrepreço de preços unitários. Embora isso possa representar um risco em relação a um eventual  jogo de planilhas pelo contratado, os artigos 127 e principalmente 128 impedem que os preços unitários maiores sejam usados como parâmetro de futuros aditivos.</w:t>
      </w:r>
    </w:p>
  </w:comment>
  <w:comment w:id="10"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A disposição deste subitem aplica-se apenas a obras ou serviços de engenharia, devendo ser suprimida para os demais objetos contratuais.</w:t>
      </w:r>
    </w:p>
  </w:comment>
  <w:comment w:id="12" w:author="Autor" w:date="0-00-00T00:00:00Z" w:initials="A">
    <w:p>
      <w:r>
        <w:rPr>
          <w:rFonts w:ascii="Liberation Serif" w:hAnsi="Liberation Serif" w:eastAsia="Segoe UI"/>
          <w:b/>
          <w:bCs/>
          <w:i/>
          <w:iCs/>
          <w:sz w:val="24"/>
          <w:lang w:val="en-US" w:eastAsia="en-US" w:bidi="en-US"/>
        </w:rPr>
        <w:t>Nota explicativa:</w:t>
      </w:r>
      <w:r>
        <w:rPr>
          <w:rFonts w:ascii="Liberation Serif" w:hAnsi="Liberation Serif" w:eastAsia="Segoe UI"/>
          <w:i/>
          <w:iCs/>
          <w:sz w:val="24"/>
          <w:lang w:val="en-US" w:eastAsia="en-US" w:bidi="en-US"/>
        </w:rPr>
        <w:t xml:space="preserve"> A recomendação de consulta aos cadastros acima se dá à luz do § 4º do  art. 91, da Lei nº 14.133, de 2021, sem prejuízo da possibilidade, a critério   do órgão respectivo, de consulta complementar a outros cadastros </w:t>
      </w:r>
      <w:r>
        <w:rPr>
          <w:rFonts w:ascii="Liberation Serif" w:hAnsi="Liberation Serif" w:eastAsia="Segoe UI"/>
          <w:i/>
          <w:iCs/>
          <w:color w:val="000000"/>
          <w:sz w:val="24"/>
          <w:lang w:val="en-US" w:eastAsia="en-US" w:bidi="en-US"/>
        </w:rPr>
        <w:t>análogos, tais como os mantidos pelo Tribunal de Contas da União – TCU.</w:t>
      </w:r>
    </w:p>
  </w:comment>
  <w:comment w:id="14" w:author="Autor" w:date="0-00-00T00:00:00Z" w:initials="A">
    <w:p>
      <w:r>
        <w:rPr>
          <w:rFonts w:ascii="Liberation Serif" w:hAnsi="Liberation Serif" w:eastAsia="Segoe UI"/>
          <w:b/>
          <w:bCs/>
          <w:color w:val="000000"/>
          <w:sz w:val="24"/>
          <w:lang w:val="en-US" w:eastAsia="en-US" w:bidi="en-US"/>
        </w:rPr>
        <w:t>Nota</w:t>
      </w:r>
      <w:r>
        <w:rPr>
          <w:rFonts w:ascii="Liberation Serif" w:hAnsi="Liberation Serif" w:eastAsia="Segoe UI"/>
          <w:color w:val="000000"/>
          <w:sz w:val="24"/>
          <w:lang w:val="en-US" w:eastAsia="en-US" w:bidi="en-US"/>
        </w:rPr>
        <w:t xml:space="preserve"> </w:t>
      </w:r>
      <w:r>
        <w:rPr>
          <w:rFonts w:ascii="Liberation Serif" w:hAnsi="Liberation Serif" w:eastAsia="Segoe UI"/>
          <w:b/>
          <w:bCs/>
          <w:color w:val="000000"/>
          <w:sz w:val="24"/>
          <w:lang w:val="en-US" w:eastAsia="en-US" w:bidi="en-US"/>
        </w:rPr>
        <w:t>explicativa</w:t>
      </w:r>
      <w:r>
        <w:rPr>
          <w:rFonts w:ascii="Liberation Serif" w:hAnsi="Liberation Serif" w:eastAsia="Segoe UI"/>
          <w:i/>
          <w:iCs/>
          <w:color w:val="000000"/>
          <w:sz w:val="24"/>
          <w:lang w:val="en-US" w:eastAsia="en-US" w:bidi="en-US"/>
        </w:rPr>
        <w:t>: De acordo com o art. 95 da Lei nº 14.133, de 2021, o termo de contrato é facultativo nas contratações fundadas no art. 75, incisos I e II (dispensa por valor) e no caso de compras com entrega imediata.</w:t>
      </w:r>
    </w:p>
    <w:p w14:paraId="07000000">
      <w:r>
        <w:rPr>
          <w:rFonts w:ascii="Liberation Serif" w:hAnsi="Liberation Serif" w:eastAsia="Segoe UI"/>
          <w:i/>
          <w:iCs/>
          <w:color w:val="000000"/>
          <w:sz w:val="24"/>
          <w:lang w:val="en-US" w:eastAsia="en-US" w:bidi="en-US"/>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13" w:author="Autor" w:date="0-00-00T00:00:00Z" w:initials="A">
    <w:p w14:paraId="08000000">
      <w:r>
        <w:rPr>
          <w:rFonts w:ascii="Liberation Serif" w:hAnsi="Liberation Serif" w:eastAsia="Segoe UI"/>
          <w:b/>
          <w:bCs/>
          <w:i/>
          <w:iCs/>
          <w:color w:val="000000"/>
          <w:sz w:val="24"/>
          <w:lang w:val="en-US" w:eastAsia="en-US" w:bidi="en-US"/>
        </w:rPr>
        <w:t xml:space="preserve">Nota </w:t>
      </w:r>
      <w:r>
        <w:rPr>
          <w:rFonts w:ascii="Liberation Serif" w:hAnsi="Liberation Serif" w:eastAsia="Segoe UI"/>
          <w:b/>
          <w:bCs/>
          <w:i/>
          <w:iCs/>
          <w:sz w:val="24"/>
          <w:lang w:val="en-US" w:eastAsia="en-US" w:bidi="en-US"/>
        </w:rPr>
        <w:t>Explicativa</w:t>
      </w:r>
      <w:r>
        <w:rPr>
          <w:rFonts w:ascii="Liberation Serif" w:hAnsi="Liberation Serif" w:eastAsia="Segoe UI"/>
          <w:b/>
          <w:bCs/>
          <w:i/>
          <w:iCs/>
          <w:color w:val="000000"/>
          <w:sz w:val="24"/>
          <w:lang w:val="en-US" w:eastAsia="en-US" w:bidi="en-US"/>
        </w:rPr>
        <w:t>:</w:t>
      </w:r>
      <w:r>
        <w:rPr>
          <w:rFonts w:ascii="Liberation Serif" w:hAnsi="Liberation Serif" w:eastAsia="Segoe UI"/>
          <w:i/>
          <w:iCs/>
          <w:color w:val="000000"/>
          <w:sz w:val="24"/>
          <w:lang w:val="en-US" w:eastAsia="en-US" w:bidi="en-US"/>
        </w:rPr>
        <w:t xml:space="preserve"> É importante que a Administração se certifique de que o Termo de Contrato, devolvido, em meio físico ou eletrônico, assinado pela Contratada, não sofreu qualquer alteração. </w:t>
      </w:r>
    </w:p>
  </w:comment>
  <w:comment w:id="15"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 xml:space="preserve">Utilizar o subitem acima no caso de haver o uso de nota de empenho ou instrumento assemelhado, em substituição ao instrumento contratual, nos termos dos incisos I e II do art. 95 da Lei nº 14.133, de 2021. </w:t>
      </w:r>
    </w:p>
  </w:comment>
  <w:comment w:id="16" w:author="Autor" w:date="0-00-00T00:00:00Z" w:initials="A">
    <w:p w14:paraId="09000000">
      <w:r>
        <w:rPr>
          <w:rFonts w:ascii="Liberation Serif" w:hAnsi="Liberation Serif" w:eastAsia="Segoe UI"/>
          <w:b/>
          <w:bCs/>
          <w:i/>
          <w:iCs/>
          <w:sz w:val="24"/>
          <w:lang w:val="en-US" w:eastAsia="en-US" w:bidi="en-US"/>
        </w:rPr>
        <w:t>Nota</w:t>
      </w:r>
      <w:r>
        <w:rPr>
          <w:rFonts w:ascii="Liberation Serif" w:hAnsi="Liberation Serif" w:eastAsia="Segoe UI"/>
          <w:i/>
          <w:iCs/>
          <w:color w:val="000000"/>
          <w:sz w:val="24"/>
          <w:lang w:val="en-US" w:eastAsia="en-US" w:bidi="en-US"/>
        </w:rPr>
        <w:t xml:space="preserve"> </w:t>
      </w:r>
      <w:r>
        <w:rPr>
          <w:rFonts w:ascii="Liberation Serif" w:hAnsi="Liberation Serif" w:eastAsia="Segoe UI"/>
          <w:b/>
          <w:bCs/>
          <w:i/>
          <w:iCs/>
          <w:sz w:val="24"/>
          <w:lang w:val="en-US" w:eastAsia="en-US" w:bidi="en-US"/>
        </w:rPr>
        <w:t>explicativa</w:t>
      </w:r>
      <w:r>
        <w:rPr>
          <w:rFonts w:ascii="Liberation Serif" w:hAnsi="Liberation Serif" w:eastAsia="Segoe UI"/>
          <w:i/>
          <w:iCs/>
          <w:color w:val="000000"/>
          <w:sz w:val="24"/>
          <w:lang w:val="en-US" w:eastAsia="en-US" w:bidi="en-US"/>
        </w:rPr>
        <w:t>: Nesse momento, deve haver a checagem da manutenção de todas as condições de habilitação, não se limitando apenas à consulta ao SICAF.</w:t>
      </w:r>
    </w:p>
  </w:comment>
  <w:comment w:id="17" w:author="Autor" w:date="0-00-00T00:00:00Z" w:initials="A">
    <w:p w14:paraId="0a000000">
      <w:r>
        <w:rPr>
          <w:rFonts w:ascii="Liberation Serif" w:hAnsi="Liberation Serif" w:eastAsia="Segoe UI"/>
          <w:b/>
          <w:bCs/>
          <w:i/>
          <w:iCs/>
          <w:sz w:val="24"/>
          <w:lang w:val="en-US" w:eastAsia="en-US" w:bidi="en-US"/>
        </w:rPr>
        <w:t>Nota Explicativa:</w:t>
      </w:r>
      <w:r>
        <w:rPr>
          <w:rFonts w:ascii="Liberation Serif" w:hAnsi="Liberation Serif" w:eastAsia="Segoe UI"/>
          <w:i/>
          <w:iCs/>
          <w:sz w:val="24"/>
          <w:lang w:val="en-US" w:eastAsia="en-US" w:bidi="en-US"/>
        </w:rPr>
        <w:t xml:space="preserve"> Nos termos do art. 156, §3º da Lei nº 14.133, de 2021, a multa deve ser prevista em percentual entre 0,5% e 30% do valor do contrato.</w:t>
      </w:r>
    </w:p>
  </w:comment>
  <w:comment w:id="18" w:author="Autor" w:date="0-00-00T00:00:00Z" w:initials="A">
    <w:p>
      <w:r>
        <w:rPr>
          <w:rFonts w:ascii="Liberation Serif" w:hAnsi="Liberation Serif" w:eastAsia="Segoe UI"/>
          <w:b/>
          <w:bCs/>
          <w:i/>
          <w:iCs/>
          <w:color w:val="000000"/>
          <w:sz w:val="24"/>
          <w:lang w:val="en-US" w:eastAsia="en-US" w:bidi="en-US"/>
        </w:rPr>
        <w:t>Nota explicativa 1:</w:t>
      </w:r>
      <w:r>
        <w:rPr>
          <w:rFonts w:ascii="Liberation Serif" w:hAnsi="Liberation Serif" w:eastAsia="Segoe UI"/>
          <w:i/>
          <w:iCs/>
          <w:color w:val="000000"/>
          <w:sz w:val="24"/>
          <w:lang w:val="en-US" w:eastAsia="en-US" w:bidi="en-US"/>
        </w:rPr>
        <w:t xml:space="preserve"> É fundamental que a Administração observe que exigências excessivas poderão prejudicar a competitividade do processo de contratação direta e ofender o disposto no art. 37, XXI da Constituição Federal, o qual preceitua que “o processo de licitação pública [...]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e a essencialidade do objeto a ser adquirido e os riscos decorrentes do seu não fornecimento em função de eventual incapacidade econômica da contratada em suportar adversidades contratuais, excluindo-se o que se entender excessivo. </w:t>
      </w:r>
    </w:p>
    <w:p>
      <w:r>
        <w:rPr>
          <w:rFonts w:ascii="Liberation Serif" w:hAnsi="Liberation Serif" w:eastAsia="Segoe UI"/>
          <w:i/>
          <w:iCs/>
          <w:color w:val="000000"/>
          <w:sz w:val="24"/>
          <w:lang w:val="en-US" w:eastAsia="en-US" w:bidi="en-US"/>
        </w:rPr>
        <w:t>Em dispensa eletrônica dividida em itens, as exigências de habilitação podem adequar-se a essa divisibilidade, sendo possível, em um mesmo aviso, a exigência de requisitos de habilitação mais amplos somente para alguns itens. Para tanto, basta acrescentar uma ressalva ao final na exigência pertinente, tal como “(exigência relativa somente aos itens ...., ...., .....)”.</w:t>
      </w:r>
    </w:p>
    <w:p>
      <w:r>
        <w:rPr>
          <w:rFonts w:ascii="Liberation Serif" w:hAnsi="Liberation Serif" w:eastAsia="Segoe UI"/>
          <w:b/>
          <w:bCs/>
          <w:i/>
          <w:iCs/>
          <w:color w:val="000000"/>
          <w:sz w:val="24"/>
          <w:lang w:val="en-US" w:eastAsia="en-US" w:bidi="en-US"/>
        </w:rPr>
        <w:t>Nota Explicativa 2:</w:t>
      </w:r>
      <w:r>
        <w:rPr>
          <w:rFonts w:ascii="Liberation Serif" w:hAnsi="Liberation Serif" w:eastAsia="Segoe UI"/>
          <w:i/>
          <w:iCs/>
          <w:color w:val="000000"/>
          <w:sz w:val="24"/>
          <w:lang w:val="en-US" w:eastAsia="en-US" w:bidi="en-US"/>
        </w:rPr>
        <w:t xml:space="preserve"> Deve-se atentar para o fato de que, conforme o art. 20 da Instrução Normativa Seges/ME n.º 67/2021, </w:t>
      </w:r>
      <w:r>
        <w:rPr>
          <w:rFonts w:ascii="Liberation Serif" w:hAnsi="Liberation Serif" w:eastAsia="Segoe UI"/>
          <w:b/>
          <w:bCs/>
          <w:i/>
          <w:iCs/>
          <w:color w:val="000000"/>
          <w:sz w:val="24"/>
          <w:lang w:val="en-US" w:eastAsia="en-US" w:bidi="en-US"/>
        </w:rPr>
        <w:t>a)</w:t>
      </w:r>
      <w:r>
        <w:rPr>
          <w:rFonts w:ascii="Liberation Serif" w:hAnsi="Liberation Serif" w:eastAsia="Segoe UI"/>
          <w:i/>
          <w:iCs/>
          <w:color w:val="000000"/>
          <w:sz w:val="24"/>
          <w:lang w:val="en-US" w:eastAsia="en-US" w:bidi="en-US"/>
        </w:rPr>
        <w:t xml:space="preserve"> no caso de contratações para entrega imediata, considerada aquela com prazo de entrega de até 30 (trinta) dias da ordem de fornecimento; </w:t>
      </w:r>
      <w:r>
        <w:rPr>
          <w:rFonts w:ascii="Liberation Serif" w:hAnsi="Liberation Serif" w:eastAsia="Segoe UI"/>
          <w:b/>
          <w:bCs/>
          <w:i/>
          <w:iCs/>
          <w:color w:val="000000"/>
          <w:sz w:val="24"/>
          <w:lang w:val="en-US" w:eastAsia="en-US" w:bidi="en-US"/>
        </w:rPr>
        <w:t>b)</w:t>
      </w:r>
      <w:r>
        <w:rPr>
          <w:rFonts w:ascii="Liberation Serif" w:hAnsi="Liberation Serif" w:eastAsia="Segoe UI"/>
          <w:i/>
          <w:iCs/>
          <w:color w:val="000000"/>
          <w:sz w:val="24"/>
          <w:lang w:val="en-US" w:eastAsia="en-US" w:bidi="en-US"/>
        </w:rPr>
        <w:t xml:space="preserve"> nas contratações com valores inferiores a 1/4 (um quarto) do limite para dispensa de licitação para compras em geral; e </w:t>
      </w:r>
      <w:r>
        <w:rPr>
          <w:rFonts w:ascii="Liberation Serif" w:hAnsi="Liberation Serif" w:eastAsia="Segoe UI"/>
          <w:b/>
          <w:bCs/>
          <w:i/>
          <w:iCs/>
          <w:color w:val="000000"/>
          <w:sz w:val="24"/>
          <w:lang w:val="en-US" w:eastAsia="en-US" w:bidi="en-US"/>
        </w:rPr>
        <w:t>c)</w:t>
      </w:r>
      <w:r>
        <w:rPr>
          <w:rFonts w:ascii="Liberation Serif" w:hAnsi="Liberation Serif" w:eastAsia="Segoe UI"/>
          <w:i/>
          <w:iCs/>
          <w:color w:val="000000"/>
          <w:sz w:val="24"/>
          <w:lang w:val="en-US" w:eastAsia="en-US" w:bidi="en-US"/>
        </w:rPr>
        <w:t xml:space="preserve"> nas contratações de produto para pesquisa e desenvolvimento de que trata a alínea “c” do inciso IV do art. 75 da Lei nº14.133, de 2021, somente será exigida das pessoas jurídicas a comprovação da regularidade fiscal federal, social e trabalhista e, das pessoas físicas, a quitação com a Fazenda Federal. </w:t>
      </w:r>
    </w:p>
    <w:p>
      <w:r>
        <w:rPr>
          <w:rFonts w:ascii="Liberation Serif" w:hAnsi="Liberation Serif" w:eastAsia="Segoe UI"/>
          <w:i/>
          <w:iCs/>
          <w:color w:val="000000"/>
          <w:sz w:val="24"/>
          <w:lang w:val="en-US" w:eastAsia="en-US" w:bidi="en-US"/>
        </w:rPr>
        <w:t xml:space="preserve">Nas situações acima, as exigências de habilitação previstas neste Aviso de Contratação Direta deverão ser adequadas às previsões normativas mencionadas. </w:t>
      </w:r>
    </w:p>
  </w:comment>
  <w:comment w:id="19"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A Instrução Normativa Seges/ME nº 116, de 21 de dezembro de 2021, estabelece procedimentos para a participação de pessoa física nas contratações públicas regidas pela Lei nº 14.133, de 2021,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sz w:val="24"/>
          <w:lang w:val="en-US" w:eastAsia="en-US" w:bidi="en-US"/>
        </w:rPr>
        <w:t xml:space="preserve">A IN Seges/ME nº 116, de 21 de dezembro de 2021, determina, ainda, em seu art. 4º, caput, que os editais ou os avisos de contratação direta possibilitem a contratação das pessoas físicas, em observância aos objetivos da isonomia e da justa competição.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sz w:val="24"/>
          <w:lang w:val="en-US" w:eastAsia="en-US" w:bidi="en-US"/>
        </w:rPr>
        <w:t>capital social mínimo</w:t>
      </w:r>
      <w:r>
        <w:rPr>
          <w:rFonts w:ascii="Liberation Serif" w:hAnsi="Liberation Serif" w:eastAsia="Segoe UI"/>
          <w:i/>
          <w:iCs/>
          <w:color w:val="000000"/>
          <w:sz w:val="24"/>
          <w:lang w:val="en-US" w:eastAsia="en-US" w:bidi="en-US"/>
        </w:rPr>
        <w:t xml:space="preserve"> e </w:t>
      </w:r>
      <w:r>
        <w:rPr>
          <w:rFonts w:ascii="Liberation Serif" w:hAnsi="Liberation Serif" w:eastAsia="Segoe UI"/>
          <w:b/>
          <w:bCs/>
          <w:i/>
          <w:iCs/>
          <w:color w:val="000000"/>
          <w:sz w:val="24"/>
          <w:lang w:val="en-US" w:eastAsia="en-US" w:bidi="en-US"/>
        </w:rPr>
        <w:t>estrutura mínima</w:t>
      </w:r>
      <w:r>
        <w:rPr>
          <w:rFonts w:ascii="Liberation Serif" w:hAnsi="Liberation Serif" w:eastAsia="Segoe UI"/>
          <w:i/>
          <w:iCs/>
          <w:color w:val="000000"/>
          <w:sz w:val="24"/>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sz w:val="24"/>
          <w:lang w:val="en-US" w:eastAsia="en-US" w:bidi="en-US"/>
        </w:rPr>
        <w:t>incompatíveis com a natureza profissional da pessoa física</w:t>
      </w:r>
      <w:r>
        <w:rPr>
          <w:rFonts w:ascii="Liberation Serif" w:hAnsi="Liberation Serif" w:eastAsia="Segoe UI"/>
          <w:i/>
          <w:iCs/>
          <w:color w:val="000000"/>
          <w:sz w:val="24"/>
          <w:lang w:val="en-US" w:eastAsia="en-US" w:bidi="en-US"/>
        </w:rPr>
        <w:t xml:space="preserve">, conforme </w:t>
      </w:r>
      <w:r>
        <w:rPr>
          <w:rFonts w:ascii="Liberation Serif" w:hAnsi="Liberation Serif" w:eastAsia="Segoe UI"/>
          <w:b/>
          <w:bCs/>
          <w:i/>
          <w:iCs/>
          <w:color w:val="000000"/>
          <w:sz w:val="24"/>
          <w:lang w:val="en-US" w:eastAsia="en-US" w:bidi="en-US"/>
        </w:rPr>
        <w:t>demonstrado em estudo técnico preliminar</w:t>
      </w:r>
      <w:r>
        <w:rPr>
          <w:rFonts w:ascii="Liberation Serif" w:hAnsi="Liberation Serif" w:eastAsia="Segoe UI"/>
          <w:i/>
          <w:iCs/>
          <w:color w:val="000000"/>
          <w:sz w:val="24"/>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14:paraId="0b000000">
      <w:r>
        <w:rPr>
          <w:rFonts w:ascii="Liberation Serif" w:hAnsi="Liberation Serif" w:eastAsia="Segoe UI"/>
          <w:i/>
          <w:iCs/>
          <w:color w:val="000000"/>
          <w:sz w:val="24"/>
          <w:lang w:val="en-US" w:eastAsia="en-US" w:bidi="en-US"/>
        </w:rPr>
        <w:t xml:space="preserve">O </w:t>
      </w:r>
      <w:r>
        <w:rPr>
          <w:rFonts w:ascii="Liberation Serif" w:hAnsi="Liberation Serif" w:eastAsia="Segoe UI"/>
          <w:i/>
          <w:iCs/>
          <w:sz w:val="24"/>
          <w:lang w:val="en-US" w:eastAsia="en-US" w:bidi="en-US"/>
        </w:rPr>
        <w:t xml:space="preserve">Decreto n.º 10.977, de 23 de fevereiro de 2022, que regulamenta a Lei nº 7.116, de 29 de agosto de 1983, e a Lei nº 9.454, de 7 de abril de 1997, estabelece, em seu art. 3º, que a </w:t>
      </w:r>
      <w:r>
        <w:rPr>
          <w:rFonts w:ascii="Liberation Serif" w:hAnsi="Liberation Serif" w:eastAsia="Segoe UI"/>
          <w:i/>
          <w:iCs/>
          <w:color w:val="000000"/>
          <w:sz w:val="24"/>
          <w:lang w:val="en-US" w:eastAsia="en-US" w:bidi="en-US"/>
        </w:rPr>
        <w:t>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sz w:val="24"/>
          <w:lang w:val="en-US" w:eastAsia="en-US" w:bidi="en-US"/>
        </w:rPr>
        <w:t>caput </w:t>
      </w:r>
      <w:r>
        <w:rPr>
          <w:rFonts w:ascii="Liberation Serif" w:hAnsi="Liberation Serif" w:eastAsia="Segoe UI"/>
          <w:i/>
          <w:iCs/>
          <w:color w:val="000000"/>
          <w:sz w:val="24"/>
          <w:lang w:val="en-US" w:eastAsia="en-US" w:bidi="en-US"/>
        </w:rPr>
        <w:t>do art. 11 do Decreto</w:t>
      </w:r>
    </w:p>
  </w:comment>
  <w:comment w:id="20"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r>
        <w:rPr>
          <w:rFonts w:ascii="Liberation Serif" w:hAnsi="Liberation Serif" w:eastAsia="Segoe UI"/>
          <w:i/>
          <w:iCs/>
          <w:color w:val="000000"/>
          <w:sz w:val="24"/>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21"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Este subitem tem como fundamento a parte final do disposto no art. 66 da Lei n 14.133, de 2021. Cabe ao órgão ou entidade analisar se a atividade relativa ao objeto a ser contratado exige registro ou autorização para funcionamento, em razão de previsão legal ou normativa. Em caso positivo, deverão ser especificados o documento a ser apresentado, o órgão competente para expedi-lo e o respectivo fundamento legal. Cite-se, como exemplo, a necessidade de registro de pessoas físicas ou jurídicas no Exército, com vistas ao exercício de qualquer atividade relativa a Produto Controlado pelo Exército (PCE), tais como a fabricação, o comércio, a importação, a exportação, a utilização e a prestação de serviços envolvendo arma </w:t>
      </w:r>
      <w:r>
        <w:rPr>
          <w:rFonts w:ascii="Liberation Serif" w:hAnsi="Liberation Serif" w:eastAsia="Segoe UI"/>
          <w:color w:val="000000"/>
          <w:sz w:val="24"/>
          <w:lang w:val="en-US" w:eastAsia="en-US" w:bidi="en-US"/>
        </w:rPr>
        <w:t>de fogo, explosivo, munição, dentre outros.</w:t>
      </w:r>
    </w:p>
  </w:comment>
  <w:comment w:id="22" w:author="Autor" w:date="0-00-00T00:00:00Z" w:initials="A">
    <w:p w14:paraId="0c000000">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Incluir este subitem caso admitida a participação de pessoas físicas no processo de contratação direta.</w:t>
      </w:r>
    </w:p>
  </w:comment>
  <w:comment w:id="23" w:author="Autor" w:date="0-00-00T00:00:00Z" w:initials="A">
    <w:p>
      <w:r>
        <w:rPr>
          <w:rFonts w:ascii="Liberation Serif" w:hAnsi="Liberation Serif" w:eastAsia="Segoe UI"/>
          <w:b/>
          <w:bCs/>
          <w:i/>
          <w:iCs/>
          <w:sz w:val="24"/>
          <w:lang w:val="en-US" w:eastAsia="en-US" w:bidi="en-US"/>
        </w:rPr>
        <w:t xml:space="preserve">Nota Explicativa: </w:t>
      </w:r>
      <w:r>
        <w:rPr>
          <w:rFonts w:ascii="Liberation Serif" w:hAnsi="Liberation Serif" w:eastAsia="Segoe UI"/>
          <w:i/>
          <w:iCs/>
          <w:color w:val="000000"/>
          <w:sz w:val="24"/>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24"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O artigo 193 do CTN preceitua que a prova da quitação de todos os tributos devidos dar-se-á no âmbito da Fazenda Pública </w:t>
      </w:r>
      <w:r>
        <w:rPr>
          <w:rFonts w:ascii="Liberation Serif" w:hAnsi="Liberation Serif" w:eastAsia="Segoe UI"/>
          <w:b/>
          <w:bCs/>
          <w:i/>
          <w:iCs/>
          <w:color w:val="000000"/>
          <w:sz w:val="24"/>
          <w:lang w:val="en-US" w:eastAsia="en-US" w:bidi="en-US"/>
        </w:rPr>
        <w:t>interessada</w:t>
      </w:r>
      <w:r>
        <w:rPr>
          <w:rFonts w:ascii="Liberation Serif" w:hAnsi="Liberation Serif" w:eastAsia="Segoe UI"/>
          <w:i/>
          <w:iCs/>
          <w:color w:val="000000"/>
          <w:sz w:val="24"/>
          <w:lang w:val="en-US" w:eastAsia="en-US" w:bidi="en-US"/>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25"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26"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27"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Diante das informações constantes do balanço patrimonial e das demonstrações contábeis exigidas, é possível realizar o cálculo de diferentes índices, a partir dos quais poderá ser evidenciada e analisada, objetivamente, a situação econômica ou financeira da empresa.</w:t>
      </w:r>
    </w:p>
    <w:p>
      <w:r>
        <w:rPr>
          <w:rFonts w:ascii="Liberation Serif" w:hAnsi="Liberation Serif" w:eastAsia="Segoe UI"/>
          <w:i/>
          <w:iCs/>
          <w:color w:val="000000"/>
          <w:sz w:val="24"/>
          <w:lang w:val="en-US" w:eastAsia="en-US" w:bidi="en-US"/>
        </w:rPr>
        <w:t>Prevê o caput do artigo 69 da Lei n.º 14.133, de 2021 que a habilitação econômico-financeira dos licitantes deverá ser comprovada “</w:t>
      </w:r>
      <w:r>
        <w:rPr>
          <w:rFonts w:ascii="Liberation Serif" w:hAnsi="Liberation Serif" w:eastAsia="Segoe UI"/>
          <w:b/>
          <w:bCs/>
          <w:i/>
          <w:iCs/>
          <w:color w:val="000000"/>
          <w:sz w:val="24"/>
          <w:lang w:val="en-US" w:eastAsia="en-US" w:bidi="en-US"/>
        </w:rPr>
        <w:t>de forma objetiva</w:t>
      </w:r>
      <w:r>
        <w:rPr>
          <w:rFonts w:ascii="Liberation Serif" w:hAnsi="Liberation Serif" w:eastAsia="Segoe UI"/>
          <w:i/>
          <w:iCs/>
          <w:color w:val="000000"/>
          <w:sz w:val="24"/>
          <w:lang w:val="en-US" w:eastAsia="en-US" w:bidi="en-US"/>
        </w:rPr>
        <w:t xml:space="preserve">, por </w:t>
      </w:r>
      <w:r>
        <w:rPr>
          <w:rFonts w:ascii="Liberation Serif" w:hAnsi="Liberation Serif" w:eastAsia="Segoe UI"/>
          <w:b/>
          <w:bCs/>
          <w:i/>
          <w:iCs/>
          <w:color w:val="000000"/>
          <w:sz w:val="24"/>
          <w:lang w:val="en-US" w:eastAsia="en-US" w:bidi="en-US"/>
        </w:rPr>
        <w:t>coeficientes e índices econômicos</w:t>
      </w:r>
      <w:r>
        <w:rPr>
          <w:rFonts w:ascii="Liberation Serif" w:hAnsi="Liberation Serif" w:eastAsia="Segoe UI"/>
          <w:i/>
          <w:iCs/>
          <w:color w:val="000000"/>
          <w:sz w:val="24"/>
          <w:lang w:val="en-US" w:eastAsia="en-US" w:bidi="en-US"/>
        </w:rPr>
        <w:t xml:space="preserve"> previstos no edital, </w:t>
      </w:r>
      <w:r>
        <w:rPr>
          <w:rFonts w:ascii="Liberation Serif" w:hAnsi="Liberation Serif" w:eastAsia="Segoe UI"/>
          <w:b/>
          <w:bCs/>
          <w:i/>
          <w:iCs/>
          <w:color w:val="000000"/>
          <w:sz w:val="24"/>
          <w:lang w:val="en-US" w:eastAsia="en-US" w:bidi="en-US"/>
        </w:rPr>
        <w:t>devidamente justificados</w:t>
      </w:r>
      <w:r>
        <w:rPr>
          <w:rFonts w:ascii="Liberation Serif" w:hAnsi="Liberation Serif" w:eastAsia="Segoe UI"/>
          <w:i/>
          <w:iCs/>
          <w:color w:val="000000"/>
          <w:sz w:val="24"/>
          <w:lang w:val="en-US" w:eastAsia="en-US" w:bidi="en-US"/>
        </w:rPr>
        <w:t xml:space="preserve"> no processo licitatório”.</w:t>
      </w:r>
    </w:p>
    <w:p>
      <w:r>
        <w:rPr>
          <w:rFonts w:ascii="Liberation Serif" w:hAnsi="Liberation Serif" w:eastAsia="Segoe UI"/>
          <w:i/>
          <w:iCs/>
          <w:color w:val="000000"/>
          <w:sz w:val="24"/>
          <w:lang w:val="en-US" w:eastAsia="en-US" w:bidi="en-US"/>
        </w:rPr>
        <w:t>A Administração deverá indicar, no Aviso de Contratação Direta, os índices econômicos específicos que deverão ser comprovados pelo fornecedor, a fim de demonstrar que possui aptidão econômico-financeira para dar cumprimento às obrigações decorrentes do contrato administrativo a ser celebrado.</w:t>
      </w:r>
    </w:p>
    <w:p>
      <w:r>
        <w:rPr>
          <w:rFonts w:ascii="Liberation Serif" w:hAnsi="Liberation Serif" w:eastAsia="Segoe UI"/>
          <w:i/>
          <w:iCs/>
          <w:color w:val="000000"/>
          <w:sz w:val="24"/>
          <w:lang w:val="en-US" w:eastAsia="en-US" w:bidi="en-US"/>
        </w:rPr>
        <w:t xml:space="preserve"> A escolha dos índices deverá ser previamente justificada, na fase de planejamento da contratação, em especial no que se refere à adequação desses indicadores às obrigações que serão assumidas pelo futuro contratado, como determina, inclusive, o inciso IX, do art. 18 da Lei n.º 14.133, de 2021.</w:t>
      </w:r>
    </w:p>
    <w:p>
      <w:r>
        <w:rPr>
          <w:rFonts w:ascii="Liberation Serif" w:hAnsi="Liberation Serif" w:eastAsia="Segoe UI"/>
          <w:i/>
          <w:iCs/>
          <w:color w:val="000000"/>
          <w:sz w:val="24"/>
          <w:lang w:val="en-US" w:eastAsia="en-US" w:bidi="en-US"/>
        </w:rPr>
        <w:t xml:space="preserve">Ainda quanto aos índices, a Lei n.º 14.133, de 2021 veda expressamente “a exigência de valores mínimos de faturamento anterior e de índices de rentabilidade ou lucratividade” (art. 69, § 2º), bem como “a exigência de índices e valores não usualmente adotados para a avaliação de situação econômico-financeira suficiente para o cumprimento das obrigações decorrentes da licitação” (art. 69, § 5º), o que deverá ser observado pela Administração. </w:t>
      </w:r>
    </w:p>
  </w:comment>
  <w:comment w:id="28"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Consoante o art. 69, § 4º, da Lei n.º 14.133, de 2021, nas licitações destinadas às</w:t>
      </w:r>
      <w:r>
        <w:rPr>
          <w:rFonts w:ascii="Liberation Serif" w:hAnsi="Liberation Serif" w:eastAsia="Segoe UI"/>
          <w:b/>
          <w:bCs/>
          <w:i/>
          <w:iCs/>
          <w:color w:val="000000"/>
          <w:sz w:val="24"/>
          <w:lang w:val="en-US" w:eastAsia="en-US" w:bidi="en-US"/>
        </w:rPr>
        <w:t xml:space="preserve"> compras para entrega futura</w:t>
      </w:r>
      <w:r>
        <w:rPr>
          <w:rFonts w:ascii="Liberation Serif" w:hAnsi="Liberation Serif" w:eastAsia="Segoe UI"/>
          <w:i/>
          <w:iCs/>
          <w:color w:val="000000"/>
          <w:sz w:val="24"/>
          <w:lang w:val="en-US" w:eastAsia="en-US" w:bidi="en-US"/>
        </w:rPr>
        <w:t xml:space="preserve"> e à execução de obras e serviços, é possível a exigência, para fins de habilitação econômico-financeira, de comprovação de capital mínimo ou de patrimônio líquido mínimo dos fornecedores. Trata-se, nesse caso, de requisitos </w:t>
      </w:r>
      <w:r>
        <w:rPr>
          <w:rFonts w:ascii="Liberation Serif" w:hAnsi="Liberation Serif" w:eastAsia="Segoe UI"/>
          <w:b/>
          <w:bCs/>
          <w:i/>
          <w:iCs/>
          <w:color w:val="000000"/>
          <w:sz w:val="24"/>
          <w:lang w:val="en-US" w:eastAsia="en-US" w:bidi="en-US"/>
        </w:rPr>
        <w:t xml:space="preserve">complementares </w:t>
      </w:r>
      <w:r>
        <w:rPr>
          <w:rFonts w:ascii="Liberation Serif" w:hAnsi="Liberation Serif" w:eastAsia="Segoe UI"/>
          <w:i/>
          <w:iCs/>
          <w:color w:val="000000"/>
          <w:sz w:val="24"/>
          <w:lang w:val="en-US" w:eastAsia="en-US" w:bidi="en-US"/>
        </w:rPr>
        <w:t xml:space="preserve">àqueles já estabelecidos no caput do art. 69 da Lei n.º 14.133, de 2021, de modo que poderá a Administração exigir, além da apresentação de balanço patrimonial e demais demonstrações contábeis, do atendimento dos índices econômicos mínimos e da apresentação de certidão negativa de falência, a comprovação de capital social mínimo ou patrimônio líquido mínimo. </w:t>
      </w:r>
    </w:p>
    <w:p>
      <w:r>
        <w:rPr>
          <w:rFonts w:ascii="Liberation Serif" w:hAnsi="Liberation Serif" w:eastAsia="Segoe UI"/>
          <w:b/>
          <w:bCs/>
          <w:i/>
          <w:iCs/>
          <w:color w:val="000000"/>
          <w:sz w:val="24"/>
          <w:lang w:val="en-US" w:eastAsia="en-US" w:bidi="en-US"/>
        </w:rPr>
        <w:t>Nota Explicativa 2:</w:t>
      </w:r>
      <w:r>
        <w:rPr>
          <w:rFonts w:ascii="Liberation Serif" w:hAnsi="Liberation Serif" w:eastAsia="Segoe UI"/>
          <w:i/>
          <w:iCs/>
          <w:color w:val="000000"/>
          <w:sz w:val="24"/>
          <w:lang w:val="en-US" w:eastAsia="en-US" w:bidi="en-US"/>
        </w:rPr>
        <w:t xml:space="preserve"> A fixação do percentual referente ao capital mínimo ou patrimônio líquido mínimo, até o limite legal de 10% (dez por cento) do valor estimado da contratação, insere-se na esfera de atuação discricionária da Administração (art. 69, § 4º, da Lei nº 14.133, de 2021). Nada obstante, as razões de conveniência e oportunidade que levaram a Administração a decidir pela exigência dos requisitos complementares de habilitação de capital ou patrimônio líquido mínimo em cada caso concreto deverão constar do processo de contratação (art. 18, inciso IX, da Lei n.º 14.133, de 2021). Deve-se fixar percentual proporcional aos riscos que a inexecução total ou parcial do contrato poderá acarretar para a Administração, notadamente em face das peculiaridades do objeto licitado, do vulto da contratação, do tempo de duração do contrato, dentre outros elementos considerados pertinentes.</w:t>
      </w:r>
    </w:p>
    <w:p>
      <w:r>
        <w:rPr>
          <w:rFonts w:ascii="Liberation Serif" w:hAnsi="Liberation Serif" w:eastAsia="Segoe UI"/>
          <w:i/>
          <w:iCs/>
          <w:color w:val="000000"/>
          <w:sz w:val="24"/>
          <w:lang w:val="en-US" w:eastAsia="en-US" w:bidi="en-US"/>
        </w:rPr>
        <w:t xml:space="preserve">A sondagem do mercado afigura-se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 </w:t>
      </w:r>
    </w:p>
  </w:comment>
  <w:comment w:id="29"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 xml:space="preserve">A previsão deste subitem decorre do disposto no art. 69, §1º, da Lei nº 14.133, de 2021, e poderá ser adotada pela Administração mediante a apresentação das devidas justificativas no processo de contratação. </w:t>
      </w:r>
    </w:p>
  </w:comment>
  <w:comment w:id="30" w:author="Autor" w:date="0-00-00T00:00:00Z" w:initials="A">
    <w:p>
      <w:r>
        <w:rPr>
          <w:rFonts w:ascii="Liberation Serif" w:hAnsi="Liberation Serif" w:eastAsia="Segoe UI"/>
          <w:b/>
          <w:bCs/>
          <w:i/>
          <w:iCs/>
          <w:color w:val="000000"/>
          <w:sz w:val="24"/>
          <w:lang w:val="en-US" w:eastAsia="en-US" w:bidi="en-US"/>
        </w:rPr>
        <w:t xml:space="preserve">Nota Explicativa: </w:t>
      </w:r>
      <w:r>
        <w:rPr>
          <w:rFonts w:ascii="Liberation Serif" w:hAnsi="Liberation Serif" w:eastAsia="Segoe UI"/>
          <w:i/>
          <w:iCs/>
          <w:color w:val="000000"/>
          <w:sz w:val="24"/>
          <w:lang w:val="en-US" w:eastAsia="en-US" w:bidi="en-US"/>
        </w:rPr>
        <w:t xml:space="preserve">A previsão deste subitem decorre do disposto no art. 69, § 3º, da Lei nº 14.133, de 2021, e poderá ser adotada pela Administração mediante a apresentação das devidas justificativas no processo de contratação. A depender do vulto da contratação e das demais circunstâncias do caso concreto, essa exigência pode se mostrar pertinente, por exemplo, em situações de fornecimento contínuo de bens, em que a execução da prestação se prolongará ao longo do tempo.  </w:t>
      </w:r>
    </w:p>
  </w:comment>
  <w:comment w:id="31" w:author="Autor" w:date="0-00-00T00:00:00Z" w:initials="A">
    <w:p>
      <w:r>
        <w:rPr>
          <w:rFonts w:ascii="Liberation Serif" w:hAnsi="Liberation Serif" w:eastAsia="Segoe UI"/>
          <w:b/>
          <w:bCs/>
          <w:i/>
          <w:iCs/>
          <w:color w:val="000000"/>
          <w:sz w:val="24"/>
          <w:lang w:val="en-US" w:eastAsia="en-US" w:bidi="en-US"/>
        </w:rPr>
        <w:t>Nota Explicativa:</w:t>
      </w:r>
      <w:r>
        <w:rPr>
          <w:rFonts w:ascii="Liberation Serif" w:hAnsi="Liberation Serif" w:eastAsia="Segoe UI"/>
          <w:i/>
          <w:iCs/>
          <w:color w:val="000000"/>
          <w:sz w:val="24"/>
          <w:lang w:val="en-US" w:eastAsia="en-US" w:bidi="en-US"/>
        </w:rPr>
        <w:t xml:space="preserve"> Recomenda-se que haja a cópia dos requisitos de habilitação técnica e das regras pertinentes previstos no Termo de Referência para a contratação. Usualmente, não se orienta pela cópia de disposições em mais de um local, por risco de previsões conflitantes, mas, neste caso, entende-se por relevante que todas as disposições sobre habilitação estejam concentradas num mesmo local, respeitando-se a atribuição da área demandante de estabelecer os requisitos de qualificação técnica. Caso não haja previsão de regras aplicáveis para qualificação técnica no Termo de Referência, recomenda-se verificar com a área demandante se houve omissão na previsão de tais requisitos ou se houve dispensa proposital, fazendo-se as diligências porventura necessárias antes da publicação do Aviso de Contratação Direta.</w:t>
      </w:r>
    </w:p>
  </w:comment>
  <w:comment w:id="32" w:author="Autor" w:date="0-00-00T00:00:00Z" w:initials="A">
    <w:p>
      <w:r>
        <w:rPr>
          <w:rFonts w:ascii="Liberation Serif" w:hAnsi="Liberation Serif" w:eastAsia="Segoe UI"/>
          <w:b/>
          <w:bCs/>
          <w:color w:val="000000"/>
          <w:sz w:val="24"/>
          <w:lang w:val="en-US" w:eastAsia="en-US" w:bidi="en-US"/>
        </w:rPr>
        <w:t xml:space="preserve">Nota Explicativa: </w:t>
      </w:r>
      <w:r>
        <w:rPr>
          <w:rFonts w:ascii="Liberation Serif" w:hAnsi="Liberation Serif" w:eastAsia="Segoe UI"/>
          <w:color w:val="000000"/>
          <w:sz w:val="24"/>
          <w:lang w:val="en-US" w:eastAsia="en-US" w:bidi="en-US"/>
        </w:rPr>
        <w:t>Incluir este subitem nas situações em que o Termo de Referência tiver considerado a avaliação prévia do local de execução do serviço imprescindível para o conhecimento pleno das condições e peculiaridades do objeto a ser contratado, nos termos dos arts. 63, §§ 2º e 3º, da Lei nº 14.133/21. </w:t>
      </w:r>
    </w:p>
  </w:comment>
</w:comments>
</file>

<file path=word/commentsExtended.xml><?xml version="1.0" encoding="utf-8"?>
<w15:commentsEx xmlns:mc="http://schemas.openxmlformats.org/markup-compatibility/2006" xmlns:w15="http://schemas.microsoft.com/office/word/2012/wordml" mc:Ignorable="w15">
  <w15:commentEx w15:paraId="01000000" w15:done="1"/>
  <w15:commentEx w15:paraId="02000000" w15:done="1"/>
  <w15:commentEx w15:paraId="03000000" w15:done="1"/>
  <w15:commentEx w15:paraId="04000000" w15:done="1"/>
  <w15:commentEx w15:paraId="05000000" w15:done="1"/>
  <w15:commentEx w15:paraId="06000000" w15:done="1"/>
  <w15:commentEx w15:paraId="07000000" w15:done="1"/>
  <w15:commentEx w15:paraId="08000000" w15:done="1"/>
  <w15:commentEx w15:paraId="09000000" w15:done="1"/>
  <w15:commentEx w15:paraId="0a000000" w15:done="1"/>
  <w15:commentEx w15:paraId="0b000000" w15:done="1"/>
  <w15:commentEx w15:paraId="0c000000" w15:done="1"/>
</w15:commentsEx>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Liberation Sans">
    <w:altName w:val="Arial"/>
    <w:charset w:val="00"/>
    <w:family w:val="swiss"/>
    <w:pitch w:val="variable"/>
  </w:font>
  <w:font w:name="Calibri Light">
    <w:charset w:val="00"/>
    <w:family w:val="swiss"/>
    <w:pitch w:val="variable"/>
  </w:font>
  <w:font w:name="Calibri">
    <w:charset w:val="00"/>
    <w:family w:val="swiss"/>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p>
    <w:pPr>
      <w:pStyle w:val="Normal"/>
      <w:tabs>
        <w:tab w:val="clear" w:pos="708"/>
        <w:tab w:val="center" w:pos="4550" w:leader="none"/>
        <w:tab w:val="left" w:pos="5818" w:leader="none"/>
      </w:tabs>
      <w:ind w:right="260" w:hanging="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themeColor="text2" w:themeShade="bf"/>
        <w:sz w:val="18"/>
        <w:szCs w:val="18"/>
      </w:rPr>
      <w:fldChar w:fldCharType="begin"/>
    </w:r>
    <w:r>
      <w:rPr>
        <w:sz w:val="18"/>
        <w:szCs w:val="18"/>
        <w:color w:val="323E4F"/>
      </w:rPr>
      <w:instrText xml:space="preserve"> PAGE </w:instrText>
    </w:r>
    <w:r>
      <w:rPr>
        <w:sz w:val="18"/>
        <w:szCs w:val="18"/>
        <w:color w:val="323E4F"/>
      </w:rPr>
      <w:fldChar w:fldCharType="separate"/>
    </w:r>
    <w:r>
      <w:rPr>
        <w:sz w:val="18"/>
        <w:szCs w:val="18"/>
        <w:color w:val="323E4F"/>
      </w:rPr>
      <w:t>17</w:t>
    </w:r>
    <w:r>
      <w:rPr>
        <w:sz w:val="18"/>
        <w:szCs w:val="18"/>
        <w:color w:val="323E4F"/>
      </w:rPr>
      <w:fldChar w:fldCharType="end"/>
    </w:r>
    <w:r>
      <w:rPr>
        <w:color w:val="323E4F" w:themeColor="text2" w:themeShade="bf"/>
        <w:sz w:val="18"/>
        <w:szCs w:val="18"/>
      </w:rPr>
      <w:t xml:space="preserve"> | </w:t>
    </w:r>
    <w:r>
      <w:rPr>
        <w:color w:val="323E4F" w:themeColor="text2" w:themeShade="bf"/>
        <w:sz w:val="18"/>
        <w:szCs w:val="18"/>
      </w:rPr>
      <w:fldChar w:fldCharType="begin"/>
    </w:r>
    <w:r>
      <w:rPr>
        <w:sz w:val="18"/>
        <w:szCs w:val="18"/>
        <w:color w:val="323E4F"/>
      </w:rPr>
      <w:instrText xml:space="preserve"> NUMPAGES \* ARABIC </w:instrText>
    </w:r>
    <w:r>
      <w:rPr>
        <w:sz w:val="18"/>
        <w:szCs w:val="18"/>
        <w:color w:val="323E4F"/>
      </w:rPr>
      <w:fldChar w:fldCharType="separate"/>
    </w:r>
    <w:r>
      <w:rPr>
        <w:sz w:val="18"/>
        <w:szCs w:val="18"/>
        <w:color w:val="323E4F"/>
      </w:rPr>
      <w:t>17</w:t>
    </w:r>
    <w:r>
      <w:rPr>
        <w:sz w:val="18"/>
        <w:szCs w:val="18"/>
        <w:color w:val="323E4F"/>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novembro/2022</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novembro/2022)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r>
  </w:p>
  <w:p>
    <w:pPr>
      <w:pStyle w:val="Cabealho"/>
      <w:rPr/>
    </w:pPr>
    <w:r>
      <w:rPr/>
    </w:r>
  </w:p>
  <w:p>
    <w:pPr>
      <w:pStyle w:val="Normal"/>
      <w:jc w:val="right"/>
      <w:rPr>
        <w:rFonts w:cs="Arial"/>
        <w:b/>
        <w:b/>
        <w:bCs/>
        <w:color w:val="5B5B5F"/>
        <w:sz w:val="28"/>
        <w:szCs w:val="28"/>
      </w:rPr>
    </w:pPr>
    <w:r>
      <w:rPr/>
      <w:t xml:space="preserve">AVISO DE CONTRATAÇÃO DIRETA Nº </w:t>
    </w:r>
    <w:r>
      <w:rPr>
        <w:rFonts w:cs="Arial"/>
        <w:bCs/>
        <w:color w:val="5B5B5F"/>
        <w:sz w:val="28"/>
        <w:szCs w:val="28"/>
      </w:rPr>
      <w:t>0</w:t>
    </w:r>
    <w:r>
      <w:rPr>
        <w:rFonts w:cs="Arial"/>
        <w:bCs/>
        <w:color w:val="FF0000"/>
        <w:sz w:val="28"/>
        <w:szCs w:val="28"/>
      </w:rPr>
      <w:t xml:space="preserve">  </w:t>
    </w:r>
    <w:r>
      <w:rPr>
        <w:rFonts w:cs="Arial"/>
        <w:bCs/>
        <w:color w:val="5B5B5F"/>
        <w:sz w:val="28"/>
        <w:szCs w:val="28"/>
      </w:rPr>
      <w:t>/2023</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3">
          <wp:simplePos x="0" y="0"/>
          <wp:positionH relativeFrom="page">
            <wp:posOffset>-13970</wp:posOffset>
          </wp:positionH>
          <wp:positionV relativeFrom="page">
            <wp:posOffset>0</wp:posOffset>
          </wp:positionV>
          <wp:extent cx="7560310" cy="10692765"/>
          <wp:effectExtent l="0" t="0" r="0" b="0"/>
          <wp:wrapNone/>
          <wp:docPr id="2"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i w:val="false"/>
        <w:b w:val="false"/>
        <w:iCs w:val="false"/>
        <w:bCs/>
        <w:rFonts w:eastAsia="WenQuanYi Micro Hei"/>
        <w:color w:val="auto"/>
      </w:rPr>
    </w:lvl>
    <w:lvl w:ilvl="1">
      <w:start w:val="1"/>
      <w:numFmt w:val="decimal"/>
      <w:lvlText w:val="%1.%2"/>
      <w:lvlJc w:val="left"/>
      <w:pPr>
        <w:tabs>
          <w:tab w:val="num" w:pos="0"/>
        </w:tabs>
        <w:ind w:left="1145" w:hanging="360"/>
      </w:pPr>
      <w:rPr>
        <w:i w:val="false"/>
        <w:b w:val="false"/>
        <w:iCs w:val="false"/>
        <w:bCs/>
        <w:rFonts w:ascii="Arial" w:hAnsi="Arial" w:eastAsia="WenQuanYi Micro Hei" w:cs="Arial"/>
        <w:color w:val="auto"/>
      </w:rPr>
    </w:lvl>
    <w:lvl w:ilvl="2">
      <w:start w:val="1"/>
      <w:numFmt w:val="decimal"/>
      <w:lvlText w:val="%1.%2.%3"/>
      <w:lvlJc w:val="left"/>
      <w:pPr>
        <w:tabs>
          <w:tab w:val="num" w:pos="0"/>
        </w:tabs>
        <w:ind w:left="2290" w:hanging="720"/>
      </w:pPr>
      <w:rPr>
        <w:dstrike w:val="false"/>
        <w:strike w:val="false"/>
        <w:sz w:val="20"/>
        <w:i w:val="false"/>
        <w:u w:val="none"/>
        <w:b w:val="false"/>
        <w:effect w:val="none"/>
        <w:szCs w:val="20"/>
        <w:bCs/>
        <w:rFonts w:ascii="Arial" w:hAnsi="Arial" w:eastAsia="WenQuanYi Micro Hei" w:cs="Arial"/>
        <w:color w:val="000000"/>
      </w:rPr>
    </w:lvl>
    <w:lvl w:ilvl="3">
      <w:start w:val="1"/>
      <w:numFmt w:val="decimal"/>
      <w:lvlText w:val="%1.%2.%3.%4"/>
      <w:lvlJc w:val="left"/>
      <w:pPr>
        <w:tabs>
          <w:tab w:val="num" w:pos="0"/>
        </w:tabs>
        <w:ind w:left="3075" w:hanging="720"/>
      </w:pPr>
      <w:rPr>
        <w:i w:val="false"/>
        <w:b w:val="false"/>
        <w:rFonts w:eastAsia="WenQuanYi Micro Hei"/>
        <w:color w:val="000000"/>
      </w:rPr>
    </w:lvl>
    <w:lvl w:ilvl="4">
      <w:start w:val="1"/>
      <w:numFmt w:val="decimal"/>
      <w:lvlText w:val="%1.%2.%3.%4.%5"/>
      <w:lvlJc w:val="left"/>
      <w:pPr>
        <w:tabs>
          <w:tab w:val="num" w:pos="0"/>
        </w:tabs>
        <w:ind w:left="4220" w:hanging="1080"/>
      </w:pPr>
      <w:rPr>
        <w:i w:val="false"/>
        <w:b w:val="false"/>
        <w:rFonts w:eastAsia="WenQuanYi Micro Hei"/>
        <w:color w:val="000000"/>
      </w:rPr>
    </w:lvl>
    <w:lvl w:ilvl="5">
      <w:start w:val="1"/>
      <w:numFmt w:val="decimal"/>
      <w:lvlText w:val="%1.%2.%3.%4.%5.%6"/>
      <w:lvlJc w:val="left"/>
      <w:pPr>
        <w:tabs>
          <w:tab w:val="num" w:pos="0"/>
        </w:tabs>
        <w:ind w:left="5005" w:hanging="1080"/>
      </w:pPr>
      <w:rPr>
        <w:i w:val="false"/>
        <w:b/>
        <w:rFonts w:eastAsia="WenQuanYi Micro Hei"/>
        <w:color w:val="000000"/>
      </w:rPr>
    </w:lvl>
    <w:lvl w:ilvl="6">
      <w:start w:val="1"/>
      <w:numFmt w:val="decimal"/>
      <w:lvlText w:val="%1.%2.%3.%4.%5.%6.%7"/>
      <w:lvlJc w:val="left"/>
      <w:pPr>
        <w:tabs>
          <w:tab w:val="num" w:pos="0"/>
        </w:tabs>
        <w:ind w:left="6150" w:hanging="1440"/>
      </w:pPr>
      <w:rPr>
        <w:i w:val="false"/>
        <w:b/>
        <w:rFonts w:eastAsia="WenQuanYi Micro Hei"/>
        <w:color w:val="000000"/>
      </w:rPr>
    </w:lvl>
    <w:lvl w:ilvl="7">
      <w:start w:val="1"/>
      <w:numFmt w:val="decimal"/>
      <w:lvlText w:val="%1.%2.%3.%4.%5.%6.%7.%8"/>
      <w:lvlJc w:val="left"/>
      <w:pPr>
        <w:tabs>
          <w:tab w:val="num" w:pos="0"/>
        </w:tabs>
        <w:ind w:left="6935" w:hanging="1440"/>
      </w:pPr>
      <w:rPr>
        <w:i w:val="false"/>
        <w:b/>
        <w:rFonts w:eastAsia="WenQuanYi Micro Hei"/>
        <w:color w:val="000000"/>
      </w:rPr>
    </w:lvl>
    <w:lvl w:ilvl="8">
      <w:start w:val="1"/>
      <w:numFmt w:val="decimal"/>
      <w:lvlText w:val="%1.%2.%3.%4.%5.%6.%7.%8.%9"/>
      <w:lvlJc w:val="left"/>
      <w:pPr>
        <w:tabs>
          <w:tab w:val="num" w:pos="0"/>
        </w:tabs>
        <w:ind w:left="8080" w:hanging="1800"/>
      </w:pPr>
      <w:rPr>
        <w:i w:val="false"/>
        <w:b/>
        <w:rFonts w:eastAsia="WenQuanYi Micro Hei"/>
        <w:color w:val="000000"/>
      </w:rPr>
    </w:lvl>
  </w:abstractNum>
  <w:abstractNum w:abstractNumId="7">
    <w:lvl w:ilvl="0">
      <w:start w:val="1"/>
      <w:numFmt w:val="decimal"/>
      <w:lvlText w:val="%1."/>
      <w:lvlJc w:val="left"/>
      <w:pPr>
        <w:tabs>
          <w:tab w:val="num" w:pos="0"/>
        </w:tabs>
        <w:ind w:left="1865" w:hanging="360"/>
      </w:pPr>
      <w:rPr/>
    </w:lvl>
    <w:lvl w:ilvl="1">
      <w:start w:val="1"/>
      <w:numFmt w:val="lowerLetter"/>
      <w:lvlText w:val="%2."/>
      <w:lvlJc w:val="left"/>
      <w:pPr>
        <w:tabs>
          <w:tab w:val="num" w:pos="0"/>
        </w:tabs>
        <w:ind w:left="2585" w:hanging="360"/>
      </w:pPr>
      <w:rPr/>
    </w:lvl>
    <w:lvl w:ilvl="2">
      <w:start w:val="1"/>
      <w:numFmt w:val="lowerRoman"/>
      <w:lvlText w:val="%3."/>
      <w:lvlJc w:val="right"/>
      <w:pPr>
        <w:tabs>
          <w:tab w:val="num" w:pos="0"/>
        </w:tabs>
        <w:ind w:left="3305" w:hanging="180"/>
      </w:pPr>
      <w:rPr/>
    </w:lvl>
    <w:lvl w:ilvl="3">
      <w:start w:val="1"/>
      <w:numFmt w:val="decimal"/>
      <w:lvlText w:val="%4."/>
      <w:lvlJc w:val="left"/>
      <w:pPr>
        <w:tabs>
          <w:tab w:val="num" w:pos="0"/>
        </w:tabs>
        <w:ind w:left="4025" w:hanging="360"/>
      </w:pPr>
      <w:rPr/>
    </w:lvl>
    <w:lvl w:ilvl="4">
      <w:start w:val="1"/>
      <w:numFmt w:val="lowerLetter"/>
      <w:lvlText w:val="%5."/>
      <w:lvlJc w:val="left"/>
      <w:pPr>
        <w:tabs>
          <w:tab w:val="num" w:pos="0"/>
        </w:tabs>
        <w:ind w:left="4745" w:hanging="360"/>
      </w:pPr>
      <w:rPr/>
    </w:lvl>
    <w:lvl w:ilvl="5">
      <w:start w:val="1"/>
      <w:numFmt w:val="lowerRoman"/>
      <w:lvlText w:val="%6."/>
      <w:lvlJc w:val="right"/>
      <w:pPr>
        <w:tabs>
          <w:tab w:val="num" w:pos="0"/>
        </w:tabs>
        <w:ind w:left="5465" w:hanging="180"/>
      </w:pPr>
      <w:rPr/>
    </w:lvl>
    <w:lvl w:ilvl="6">
      <w:start w:val="1"/>
      <w:numFmt w:val="decimal"/>
      <w:lvlText w:val="%7."/>
      <w:lvlJc w:val="left"/>
      <w:pPr>
        <w:tabs>
          <w:tab w:val="num" w:pos="0"/>
        </w:tabs>
        <w:ind w:left="6185" w:hanging="360"/>
      </w:pPr>
      <w:rPr/>
    </w:lvl>
    <w:lvl w:ilvl="7">
      <w:start w:val="1"/>
      <w:numFmt w:val="lowerLetter"/>
      <w:lvlText w:val="%8."/>
      <w:lvlJc w:val="left"/>
      <w:pPr>
        <w:tabs>
          <w:tab w:val="num" w:pos="0"/>
        </w:tabs>
        <w:ind w:left="6905" w:hanging="360"/>
      </w:pPr>
      <w:rPr/>
    </w:lvl>
    <w:lvl w:ilvl="8">
      <w:start w:val="1"/>
      <w:numFmt w:val="lowerRoman"/>
      <w:lvlText w:val="%9."/>
      <w:lvlJc w:val="right"/>
      <w:pPr>
        <w:tabs>
          <w:tab w:val="num" w:pos="0"/>
        </w:tabs>
        <w:ind w:left="762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eastAsia="pt-BR" w:val="pt-BR" w:bidi="ar-SA"/>
    </w:rPr>
  </w:style>
  <w:style w:type="paragraph" w:styleId="Ttulo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LinkdaInternet">
    <w:name w:val="Hyperlink"/>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Linkdainternetvisitado">
    <w:name w:val="FollowedHyperlink"/>
    <w:basedOn w:val="DefaultParagraphFont"/>
    <w:uiPriority w:val="99"/>
    <w:semiHidden/>
    <w:unhideWhenUsed/>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next w:val="Corpodotexto"/>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numPr>
        <w:ilvl w:val="0"/>
        <w:numId w:val="0"/>
      </w:num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numPr>
        <w:ilvl w:val="0"/>
        <w:numId w:val="0"/>
      </w:numPr>
      <w:spacing w:before="480" w:after="120"/>
      <w:ind w:left="644" w:hanging="0"/>
    </w:pPr>
    <w:rPr>
      <w:rFonts w:cs="Times New Roman"/>
      <w:b w:val="false"/>
      <w:color w:val="000000"/>
      <w:szCs w:val="20"/>
    </w:rPr>
  </w:style>
  <w:style w:type="paragraph" w:styleId="Nivel2" w:customStyle="1">
    <w:name w:val="Nivel 2"/>
    <w:qFormat/>
    <w:rsid w:val="00c074da"/>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708"/>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708"/>
        <w:tab w:val="center" w:pos="4252" w:leader="none"/>
        <w:tab w:val="right" w:pos="8504" w:leader="none"/>
      </w:tabs>
    </w:pPr>
    <w:rPr/>
  </w:style>
  <w:style w:type="paragraph" w:styleId="Rodap">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Ttulo1"/>
    <w:next w:val="Normal"/>
    <w:qFormat/>
    <w:rsid w:val="00c074da"/>
    <w:pPr>
      <w:numPr>
        <w:ilvl w:val="0"/>
        <w:numId w:val="0"/>
      </w:numPr>
      <w:tabs>
        <w:tab w:val="clear" w:pos="708"/>
        <w:tab w:val="left" w:pos="360" w:leader="none"/>
        <w:tab w:val="left" w:pos="567" w:leader="none"/>
      </w:tabs>
      <w:ind w:firstLine="567"/>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eastAsia="pt-BR" w:val="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 w:cs="Times New Roman"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before="0" w:after="10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manuais/dispensa-eletronica/ManualNovoDispensaEletrnica28.01.2022.pdf" TargetMode="External"/><Relationship Id="rId2"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gov.br/compras/pt-br/acesso-a-informacao/legislacao/instrucoes-normativas/instrucao-normativa-seges-me-no-67-de-8-de-julho-de-2021" TargetMode="External"/><Relationship Id="rId5" Type="http://schemas.openxmlformats.org/officeDocument/2006/relationships/hyperlink" Target="http://www.gov.br/compras" TargetMode="External"/><Relationship Id="rId6" Type="http://schemas.openxmlformats.org/officeDocument/2006/relationships/hyperlink" Target="http://www.pncp.gov.br/" TargetMode="External"/><Relationship Id="rId7" Type="http://schemas.openxmlformats.org/officeDocument/2006/relationships/hyperlink" Target="https://www.gov.br/compras/pt-br/sistemas/conheca-o-compras/aplicativo-compras" TargetMode="External"/><Relationship Id="rId8" Type="http://schemas.openxmlformats.org/officeDocument/2006/relationships/hyperlink" Target="http://www.planalto.gov.br/ccivil_03/LEIS/L6404consol.htm" TargetMode="External"/><Relationship Id="rId9" Type="http://schemas.openxmlformats.org/officeDocument/2006/relationships/hyperlink" Target="https://www3.comprasnet.gov.br/sicaf-web/index.jsf" TargetMode="External"/><Relationship Id="rId10" Type="http://schemas.openxmlformats.org/officeDocument/2006/relationships/hyperlink" Target="https://portaldatransparencia.gov.br/sancoes/consulta?cadastro=1%2C2" TargetMode="External"/><Relationship Id="rId11" Type="http://schemas.openxmlformats.org/officeDocument/2006/relationships/hyperlink" Target="https://portaldatransparencia.gov.br/sancoes/consulta?cadastro=1%2C2"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s://www.planalto.gov.br/ccivil_03/leis/lcp/lcp123.htm"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20" Type="http://schemas.openxmlformats.org/officeDocument/2006/relationships/comments" Target="comments.xml"/><Relationship Id="rId21" Type="http://schemas.microsoft.com/office/2011/relationships/commentsExtended" Target="commentsExtended.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LibreOffice/7.4.3.2$Windows_x86 LibreOffice_project/1048a8393ae2eeec98dff31b5c133c5f1d08b890</Application>
  <AppVersion>15.0000</AppVersion>
  <Pages>17</Pages>
  <Words>6431</Words>
  <Characters>36879</Characters>
  <CharactersWithSpaces>42864</CharactersWithSpaces>
  <Paragraphs>287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2023-01-06T14:30:00Z</dcterms:created>
  <dc:creator/>
  <dc:description/>
  <dc:language>pt-BR</dc:language>
  <cp:lastModifiedBy/>
  <dcterms:modified xsi:type="dcterms:W3CDTF">2023-02-23T11:54:51Z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